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C1AD42" w14:textId="77777777" w:rsidR="009F4F0A" w:rsidRDefault="009F4F0A"/>
    <w:p w14:paraId="2220A847" w14:textId="77777777" w:rsidR="009F4F0A" w:rsidRDefault="009F4F0A"/>
    <w:p w14:paraId="59E46377" w14:textId="77777777" w:rsidR="009F4F0A" w:rsidRDefault="009F4F0A"/>
    <w:p w14:paraId="29C8A47F" w14:textId="77777777" w:rsidR="009F4F0A" w:rsidRDefault="00000000">
      <w:pPr>
        <w:pStyle w:val="Title"/>
        <w:jc w:val="center"/>
      </w:pPr>
      <w:r>
        <w:t>Related Work Study</w:t>
      </w:r>
    </w:p>
    <w:p w14:paraId="115B74EE" w14:textId="77777777" w:rsidR="009F4F0A" w:rsidRDefault="00000000">
      <w:pPr>
        <w:jc w:val="center"/>
      </w:pPr>
      <w:r>
        <w:rPr>
          <w:i/>
          <w:color w:val="505050"/>
          <w:sz w:val="28"/>
        </w:rPr>
        <w:t>Blood Bank Management and Multi Bank Supply Networks</w:t>
      </w:r>
    </w:p>
    <w:p w14:paraId="7CA18B4D" w14:textId="77777777" w:rsidR="009F4F0A" w:rsidRDefault="009F4F0A"/>
    <w:p w14:paraId="5C69F5B1" w14:textId="77777777" w:rsidR="009F4F0A" w:rsidRDefault="00000000">
      <w:pPr>
        <w:jc w:val="center"/>
      </w:pPr>
      <w:r>
        <w:rPr>
          <w:sz w:val="24"/>
        </w:rPr>
        <w:t>Prepared for Graduation Project 1</w:t>
      </w:r>
    </w:p>
    <w:p w14:paraId="680376B8" w14:textId="77777777" w:rsidR="009F4F0A" w:rsidRDefault="00000000">
      <w:pPr>
        <w:jc w:val="center"/>
      </w:pPr>
      <w:r>
        <w:rPr>
          <w:sz w:val="24"/>
        </w:rPr>
        <w:t>Blood Bank Management System</w:t>
      </w:r>
    </w:p>
    <w:p w14:paraId="67EE4E81" w14:textId="77777777" w:rsidR="009F4F0A" w:rsidRDefault="00000000">
      <w:r/>
    </w:p>
    <w:p w14:paraId="3C4686A7" w14:textId="77777777" w:rsidR="009F4F0A" w:rsidRDefault="00000000">
      <w:pPr>
        <w:pStyle w:val="Heading1"/>
      </w:pPr>
      <w:r>
        <w:t>Abstract</w:t>
      </w:r>
    </w:p>
    <w:p w14:paraId="78A87BB2" w14:textId="77777777" w:rsidR="009F4F0A" w:rsidRDefault="00000000">
      <w:pPr>
        <w:ind w:firstLine="360"/>
      </w:pPr>
      <w:r>
        <w:t>Blood-bank management combines donor registration, donation collection, laboratory screening, component processing, inventory control, and hospital supply. This related-work study reviews five academic sources, five operational systems, and one Syrian national roadmap. The academic sources cover digital blood-bank management, demand forecasting, computational forecasting and inventory research, blood-bank network design, and uncertainty-aware allocation with ABO-Rh compatibility and product shelf life. The practical systems are e-RaktKosh, BloodNet, NHS Blood and Transplant OBOS, American Red Cross Connect, and the Canadian Blood Services Hospital Portal. The review indicates that the proposed project should be a standalone academic prototype rather than an official government system. Its focused contribution is the combination of component-level inventory, request-specific nearest-source selection, safe unit reservation, and demand forecasting for a publicly coordinated blood-bank context.</w:t>
      </w:r>
    </w:p>
    <w:p w14:paraId="729E635B" w14:textId="77777777" w:rsidR="009F4F0A" w:rsidRDefault="00000000">
      <w:r>
        <w:rPr>
          <w:b/>
        </w:rPr>
        <w:t xml:space="preserve">Keywords: </w:t>
      </w:r>
      <w:r>
        <w:t>blood bank management, demand forecasting, inventory allocation, blood supply chain, traceability, healthcare logistics</w:t>
      </w:r>
    </w:p>
    <w:p w14:paraId="41569876" w14:textId="77777777" w:rsidR="009F4F0A" w:rsidRDefault="00000000">
      <w:pPr>
        <w:pStyle w:val="Heading1"/>
      </w:pPr>
      <w:r>
        <w:t>1 Introduction</w:t>
      </w:r>
    </w:p>
    <w:p w14:paraId="3223D131" w14:textId="77777777" w:rsidR="009F4F0A" w:rsidRDefault="00000000">
      <w:pPr>
        <w:ind w:firstLine="360"/>
      </w:pPr>
      <w:r>
        <w:t>Blood is a time-sensitive healthcare resource. Its management requires coordination between donors, blood banks, laboratories, hospitals, and transport or storage operations. Blood components also have different shelf lives and storage conditions. Therefore, an effective information system must connect a donation with its screening results, component records, inventory status, hospital requests, and final outcome.</w:t>
      </w:r>
    </w:p>
    <w:p w14:paraId="231D14FA" w14:textId="77777777" w:rsidR="009F4F0A" w:rsidRDefault="00000000">
      <w:pPr>
        <w:ind w:firstLine="360"/>
      </w:pPr>
      <w:r>
        <w:t>The proposed project is an independent Graduation Project 1 prototype inspired by the needs of a publicly coordinated blood-bank network in Syria. It is not intended to replace a Ministry of Health system or to integrate with official databases. The prototype will use simulated or de-identified data and will focus on operational management, nearest-source selection for exact-match requests, safe unit reservation, and blood-demand forecasting.</w:t>
      </w:r>
    </w:p>
    <w:p w14:paraId="2DBA7BEF" w14:textId="77777777" w:rsidR="009F4F0A" w:rsidRDefault="00000000">
      <w:pPr>
        <w:ind w:firstLine="360"/>
      </w:pPr>
      <w:r>
        <w:t>The purpose of this study is not to claim that donor registration, inventory management, or barcode use are new. Instead, it is to identify what existing research and systems already provide, where their approaches differ, and which focused combination is suitable for the proposed academic prototype.</w:t>
      </w:r>
    </w:p>
    <w:p w14:paraId="663153BE" w14:textId="77777777" w:rsidR="009F4F0A" w:rsidRDefault="00000000">
      <w:pPr>
        <w:pStyle w:val="Heading1"/>
      </w:pPr>
      <w:r>
        <w:t>2 Review Method</w:t>
      </w:r>
    </w:p>
    <w:p w14:paraId="0D668AA6" w14:textId="77777777" w:rsidR="009F4F0A" w:rsidRDefault="00000000">
      <w:pPr>
        <w:ind w:firstLine="360"/>
      </w:pPr>
      <w:r>
        <w:t>A targeted narrative review was conducted rather than a full systematic review. The search focused on work published mainly between 2018 and 2026, while older foundational work was considered when it was directly relevant. Searches were conducted through PubMed, Google Scholar, publisher pages, DOI records, and official documentation pages for operational systems. The main search terms included: “blood demand forecasting,” “blood supply chain inventory,” “blood bank network design,” “blood allocation hospital,” “blood expiry shelf life,” “ABO Rh optimization,” “blood component traceability,” and “blood bank management system.”</w:t>
      </w:r>
    </w:p>
    <w:p w14:paraId="31E1C7FD" w14:textId="77777777" w:rsidR="009F4F0A" w:rsidRDefault="00000000">
      <w:pPr>
        <w:ind w:firstLine="360"/>
      </w:pPr>
      <w:r>
        <w:t>Sources were retained when they addressed at least one of the following: blood-demand forecasting, inventory or expiry-aware allocation, multi-facility blood supply, compatibility constraints, digital blood-bank operations, or unit-level traceability. Research papers, operational systems, technical standards, and the Syrian roadmap were kept as separate evidence categories. This distinction is important because an official operational system is evidence of implementation, while a research paper is evidence of a studied method.</w:t>
      </w:r>
    </w:p>
    <w:p w14:paraId="3DC20BE7" w14:textId="77777777" w:rsidR="009F4F0A" w:rsidRDefault="00000000">
      <w:pPr>
        <w:ind w:firstLine="360"/>
      </w:pPr>
      <w:r>
        <w:t>Five academic sources were selected for detailed synthesis. Five operational systems were selected for practical comparison. The review is intentionally targeted and should not be described as a formal systematic review or meta-analysis. A future expanded study could add database-specific screening records and a formal quality-assessment protocol.</w:t>
      </w:r>
    </w:p>
    <w:p w14:paraId="584F7256" w14:textId="77777777" w:rsidR="009F4F0A" w:rsidRDefault="00000000">
      <w:pPr>
        <w:pStyle w:val="Heading1"/>
      </w:pPr>
      <w:r>
        <w:t>3 Academic Research</w:t>
      </w:r>
    </w:p>
    <w:p w14:paraId="7AE229C6" w14:textId="77777777" w:rsidR="009F4F0A" w:rsidRDefault="00000000">
      <w:pPr>
        <w:pStyle w:val="Heading2"/>
      </w:pPr>
      <w:r>
        <w:t>3.1 Digital Blood Bank Management</w:t>
      </w:r>
    </w:p>
    <w:p w14:paraId="51699DA5" w14:textId="77777777" w:rsidR="009F4F0A" w:rsidRDefault="00000000">
      <w:pPr>
        <w:ind w:firstLine="360"/>
      </w:pPr>
      <w:r>
        <w:t>Rajawat et al. (2025) present a computerized Blood Bank Management System that brings donor registration, donation tracking, screening outcomes, inventory monitoring, and hospital requests into one platform. The paper is useful for identifying the operational entities and relationships that a blood-bank system must manage. It supports the inclusion of donors, donations, screening records, blood units, hospital requests, and traceability in the proposed prototype.</w:t>
      </w:r>
    </w:p>
    <w:p w14:paraId="5BD1A16D" w14:textId="77777777" w:rsidR="009F4F0A" w:rsidRDefault="00000000">
      <w:pPr>
        <w:ind w:firstLine="360"/>
      </w:pPr>
      <w:r>
        <w:t>This source must, however, be interpreted cautiously. IJPREMS is not treated in this review as equivalent in evidential weight to the indexed peer-reviewed journal articles included below. The paper provides a useful system concept and workflow description, but its methodological detail and empirical validation are limited in comparison with the operations-research and forecasting studies. It is therefore used as a preliminary software-design reference rather than as the main evidence for the research gap.</w:t>
      </w:r>
    </w:p>
    <w:p w14:paraId="142AAE50" w14:textId="77777777" w:rsidR="009F4F0A" w:rsidRDefault="00000000">
      <w:pPr>
        <w:pStyle w:val="Heading2"/>
      </w:pPr>
      <w:r>
        <w:t>3.2 Machine Learning for Blood Demand and Donor Behaviour</w:t>
      </w:r>
    </w:p>
    <w:p w14:paraId="446DF320" w14:textId="77777777" w:rsidR="009F4F0A" w:rsidRDefault="00000000">
      <w:pPr>
        <w:ind w:firstLine="360"/>
      </w:pPr>
      <w:r>
        <w:t>Ben Elmir, Hemmak, and Senouci (2023) propose a smart blood-management platform that combines time-series forecasting, machine learning, and donor classification. The authors evaluate models including ARMA, ARIMA, autoregressive models, artificial neural networks, linear regression, and support vector regression using historical blood-supply data from Algeria.</w:t>
      </w:r>
    </w:p>
    <w:p w14:paraId="4914F814" w14:textId="77777777" w:rsidR="009F4F0A" w:rsidRDefault="00000000">
      <w:pPr>
        <w:ind w:firstLine="360"/>
      </w:pPr>
      <w:r>
        <w:t>The relevance to the proposed project is direct: forecasting can support future collection and inventory planning. The study also highlights an important limitation. A model trained in one region may not generalize to different hospitals, blood components, or populations. In addition, a forecast does not by itself solve allocation. It must be connected to inventory status, compatibility rules, expiry dates, reservations, and delivery constraints.</w:t>
      </w:r>
    </w:p>
    <w:p w14:paraId="447DEEDB" w14:textId="77777777" w:rsidR="009F4F0A" w:rsidRDefault="00000000">
      <w:pPr>
        <w:pStyle w:val="Heading2"/>
      </w:pPr>
      <w:r>
        <w:t>3.3 Review of Computational Forecasting and Inventory Methods</w:t>
      </w:r>
    </w:p>
    <w:p w14:paraId="2E412E5D" w14:textId="77777777" w:rsidR="009F4F0A" w:rsidRDefault="00000000">
      <w:pPr>
        <w:ind w:firstLine="360"/>
      </w:pPr>
      <w:r>
        <w:t>Li et al. (2023) provide a narrative review of computational methods used for blood-demand forecasting and supply management. Their review searched PubMed and Web of Science for studies published from 2016 to March 2023 and identified seven key studies using regression, machine learning, hybrid models, and time-series methods. The authors report that predictors often came from electronic health records, hospital census, laboratory information, and blood-component usage.</w:t>
      </w:r>
    </w:p>
    <w:p w14:paraId="159C615B" w14:textId="77777777" w:rsidR="009F4F0A" w:rsidRDefault="00000000">
      <w:pPr>
        <w:ind w:firstLine="360"/>
      </w:pPr>
      <w:r>
        <w:t>This review is important because it places forecasting models in an operational context. It identifies recurring limitations, including uncertain generalizability, insufficient component-specific evaluation, limited consideration of ABO compatibility, and ethical issues in resource allocation. These observations support the proposed decision to compare an AI model with a simple baseline and to treat forecasting as decision support rather than as an automatic clinical or allocation decision.</w:t>
      </w:r>
    </w:p>
    <w:p w14:paraId="2B4FA30C" w14:textId="77777777" w:rsidR="009F4F0A" w:rsidRDefault="00000000">
      <w:pPr>
        <w:pStyle w:val="Heading2"/>
      </w:pPr>
      <w:r>
        <w:t>3.4 Blood Bank Network Design</w:t>
      </w:r>
    </w:p>
    <w:p w14:paraId="292EC5AC" w14:textId="77777777" w:rsidR="009F4F0A" w:rsidRDefault="00000000">
      <w:pPr>
        <w:ind w:firstLine="360"/>
      </w:pPr>
      <w:r>
        <w:t xml:space="preserve">Kaya and Ozkok (2020) study the design of a blood distribution network by integrating facility location, inventory, and routing decisions. Their model selects local blood banks, assigns hospitals to facilities, determines inventory levels, and plans routes. The authors formulate a mixed-integer nonlinear </w:t>
      </w:r>
      <w:r>
        <w:t>programming model and evaluate it using a real-life case study in Istanbul, together with approximation and simulated-annealing solution methods.</w:t>
      </w:r>
    </w:p>
    <w:p w14:paraId="026227D0" w14:textId="77777777" w:rsidR="009F4F0A" w:rsidRDefault="00000000">
      <w:pPr>
        <w:ind w:firstLine="360"/>
      </w:pPr>
      <w:r>
        <w:t>This paper represents a different technical approach from the forecasting studies. It does not use machine learning as the main solution; instead, it uses mathematical optimization. Its contribution to the proposed project is the idea that source selection and distribution can be handled through explicit constraints and objectives. The Graduation Project 1 prototype will use a smaller rule-based selection of the nearest bank that can fulfill the complete exact-match request rather than attempting to redesign the physical national network.</w:t>
      </w:r>
    </w:p>
    <w:p w14:paraId="0A9DFF41" w14:textId="77777777" w:rsidR="009F4F0A" w:rsidRDefault="00000000">
      <w:pPr>
        <w:pStyle w:val="Heading2"/>
      </w:pPr>
      <w:r>
        <w:t>3.5 Compatibility Shelf Life and Uncertainty</w:t>
      </w:r>
    </w:p>
    <w:p w14:paraId="6A5605ED" w14:textId="77777777" w:rsidR="009F4F0A" w:rsidRDefault="00000000">
      <w:pPr>
        <w:ind w:firstLine="360"/>
      </w:pPr>
      <w:r>
        <w:t>Arani et al. (2021) present a blood-supply-chain network model that includes ABO-Rh compatibility, product shelf life, inventory sharing, and uncertain supply and demand. Their lateral-resupply model allows hospitals to use excess inventory from other hospitals when the required product is unavailable at a blood center. The study uses scenario-based stochastic optimization and multi-objective programming.</w:t>
      </w:r>
    </w:p>
    <w:p w14:paraId="012E5778" w14:textId="77777777" w:rsidR="009F4F0A" w:rsidRDefault="00000000">
      <w:pPr>
        <w:ind w:firstLine="360"/>
      </w:pPr>
      <w:r>
        <w:t>This work is particularly relevant to expiry-aware allocation. It shows that blood allocation cannot be based only on distance or current quantity. Compatibility, shelf life, uncertainty, and the effect of one allocation on other facilities must also be considered. The proposed project will not implement lateral resupply in Graduation 1, but it will use the same principle at a simpler level: require the exact requested blood group and component attributes, then check availability, expiry, and reservations.</w:t>
      </w:r>
    </w:p>
    <w:p w14:paraId="69DE3CE1" w14:textId="77777777" w:rsidR="009F4F0A" w:rsidRDefault="00000000">
      <w:pPr>
        <w:pStyle w:val="Heading1"/>
      </w:pPr>
      <w:r>
        <w:t>4 Practical Systems</w:t>
      </w:r>
    </w:p>
    <w:p w14:paraId="0DD27CFA" w14:textId="77777777" w:rsidR="009F4F0A" w:rsidRDefault="00000000">
      <w:pPr>
        <w:pStyle w:val="Heading2"/>
      </w:pPr>
      <w:r>
        <w:t>4.1 e-RaktKosh</w:t>
      </w:r>
    </w:p>
    <w:p w14:paraId="5F113DB6" w14:textId="77777777" w:rsidR="009F4F0A" w:rsidRDefault="00000000">
      <w:pPr>
        <w:ind w:firstLine="360"/>
      </w:pPr>
      <w:r>
        <w:t>e-RaktKosh is a centralized blood-bank management system developed for the Indian public-health context. Its official documentation (e-RaktKosh, n.d.) describes donor management, blood grouping, screening, component preparation, centralized inventory, requisition and issue, alerts, dashboards, reports, and blood-availability search across registered blood centers. It demonstrates how a public network can combine internal blood-bank workflow with wider availability information.</w:t>
      </w:r>
    </w:p>
    <w:p w14:paraId="3379667B" w14:textId="77777777" w:rsidR="009F4F0A" w:rsidRDefault="00000000">
      <w:pPr>
        <w:ind w:firstLine="360"/>
      </w:pPr>
      <w:r>
        <w:t>The system is used here as evidence of operational implementation, not as peer-reviewed academic evidence. Public documentation does not clearly describe the exact nearest-source, complete-request reservation workflow proposed in this project. The proposed prototype therefore focuses on a narrower researchable question: whether request-specific source selection and demand forecasting can support fulfillment and stock planning beyond availability searching.</w:t>
      </w:r>
    </w:p>
    <w:p w14:paraId="535D3DB8" w14:textId="77777777" w:rsidR="009F4F0A" w:rsidRDefault="00000000">
      <w:pPr>
        <w:pStyle w:val="Heading2"/>
      </w:pPr>
      <w:r>
        <w:t>4.2 BloodNet</w:t>
      </w:r>
    </w:p>
    <w:p w14:paraId="3B15AF29" w14:textId="77777777" w:rsidR="009F4F0A" w:rsidRDefault="00000000">
      <w:pPr>
        <w:ind w:firstLine="360"/>
      </w:pPr>
      <w:r>
        <w:t>BloodNet is an Australian online blood-ordering and inventory-management system. The National Blood Authority (n.d.) describes it as a system through which health facilities order blood and blood products, record inventory levels, and record the final fate of each unit, including transfer, transfusion, or disposal. It is a strong practical example of hospital ordering and unit-outcome tracking.</w:t>
      </w:r>
    </w:p>
    <w:p w14:paraId="49ED8046" w14:textId="77777777" w:rsidR="009F4F0A" w:rsidRDefault="00000000">
      <w:pPr>
        <w:ind w:firstLine="360"/>
      </w:pPr>
      <w:r>
        <w:t>BloodNet also demonstrates why traceability should continue beyond the blood bank. A system should record not only that a unit was available, but also whether it was reserved, issued, transferred, transfused, returned, or discarded. The complete national infrastructure behind BloodNet is outside Graduation Project 1, so the proposed work will implement a smaller simulated workflow.</w:t>
      </w:r>
    </w:p>
    <w:p>
      <w:pPr>
        <w:pStyle w:val="Heading2"/>
      </w:pPr>
      <w:r>
        <w:t>4.3 NHS Blood and Transplant OBOS</w:t>
      </w:r>
    </w:p>
    <w:p>
      <w:pPr/>
      <w:r>
        <w:t>The Online Blood Ordering System (OBOS) is the live NHS Blood and Transplant web system used by hospital staff in England to order blood and blood components for clinical use (NHS Blood and Transplant, 2025). Its public user information documents online ordering and administrator support.</w:t>
      </w:r>
    </w:p>
    <w:p>
      <w:pPr/>
      <w:r>
        <w:t>OBOS illustrates a practical hospital ordering channel. The reviewed public pages do not establish that OBOS automatically chooses the nearest bank holding the complete exact-match quantity, reserves individual units in that bank, or displays a demand forecast. Those comparisons are limits of public evidence, not claims about every internal NHS process.</w:t>
      </w:r>
    </w:p>
    <w:p>
      <w:pPr>
        <w:pStyle w:val="Heading2"/>
      </w:pPr>
      <w:r>
        <w:t>4.4 American Red Cross Connect</w:t>
      </w:r>
    </w:p>
    <w:p>
      <w:pPr/>
      <w:r>
        <w:t>Connect is the American Red Cross online order-management service for hospital partners. The Red Cross describes product and service ordering, billing support, inventory management, and tracking blood-product movement in Connect (American Red Cross, n.d.).</w:t>
      </w:r>
    </w:p>
    <w:p>
      <w:pPr/>
      <w:r>
        <w:t>Connect demonstrates that ordering, inventory visibility, and product movement can be joined in an operational hospital service. Its reviewed public guide does not specify the proposed project’s nearest-bank, complete-request reservation rule or a hospital-request demand forecast.</w:t>
      </w:r>
    </w:p>
    <w:p>
      <w:pPr>
        <w:pStyle w:val="Heading2"/>
      </w:pPr>
      <w:r>
        <w:t>4.5 Canadian Blood Services Hospital Portal</w:t>
      </w:r>
    </w:p>
    <w:p>
      <w:pPr/>
      <w:r>
        <w:t>The Canadian Blood Services Hospital Portal lets hospitals report the disposition of blood components and plasma products, enter inventory information, and view hospital trend and peer-comparison reports (Canadian Blood Services, n.d.). It is a deployed reporting and inventory-sharing application for hospital users.</w:t>
      </w:r>
    </w:p>
    <w:p>
      <w:pPr/>
      <w:r>
        <w:t>The Portal is useful evidence for hospital inventory reporting and outcome tracking. The cited Portal page does not establish that it handles blood ordering, nearest-source selection, complete-request reservation, or demand forecasting. The comparison marks those functions as not stated rather than inferring their absence from other Canadian Blood Services systems.</w:t>
      </w:r>
    </w:p>
    <w:p w14:paraId="375EE91A" w14:textId="77777777" w:rsidR="009F4F0A" w:rsidRDefault="00000000">
      <w:pPr>
        <w:pStyle w:val="Heading1"/>
      </w:pPr>
      <w:r>
        <w:t>5 Syrian Context</w:t>
      </w:r>
    </w:p>
    <w:p w14:paraId="4F2164F5" w14:textId="77777777" w:rsidR="009F4F0A" w:rsidRDefault="00000000">
      <w:pPr>
        <w:ind w:firstLine="360"/>
      </w:pPr>
      <w:r>
        <w:t>The Syrian Science Council published a national roadmap for developing Syrian blood banks in January 2026. The roadmap identifies problems related to manual processes, wastage, tracking, and distribution, and proposes a system called BloodSmart-Syria. The proposal describes a hybrid local and cloud architecture, barcode identification, alerts, smart distribution, and operation during limited connectivity.</w:t>
      </w:r>
    </w:p>
    <w:p w14:paraId="4F2AF507" w14:textId="77777777" w:rsidR="009F4F0A" w:rsidRDefault="00000000">
      <w:pPr>
        <w:ind w:firstLine="360"/>
      </w:pPr>
      <w:r>
        <w:t>This source is valuable for local context and requirements. It suggests that Syrian blood banks should be understood as publicly coordinated units connected to the Ministry of Health and the General Blood Banks institution, rather than as private competing organizations. Accordingly, the proposed project will model a public network but will remain an independent academic prototype without official integration.</w:t>
      </w:r>
    </w:p>
    <w:p w14:paraId="3E06E835" w14:textId="77777777" w:rsidR="009F4F0A" w:rsidRDefault="00000000">
      <w:pPr>
        <w:ind w:firstLine="360"/>
      </w:pPr>
      <w:r>
        <w:t>The roadmap is not treated as proof that a complete national system has already been deployed. Its numerical claims and operational estimates should be verified before being cited as measured evidence. Its strongest contribution to this project is contextual: it supports the relevance of digital tracking, barcode-based identification, alerts, synchronization, and distribution support in Syria.</w:t>
      </w:r>
    </w:p>
    <w:p w14:paraId="2A070ADA" w14:textId="77777777" w:rsidR="009F4F0A" w:rsidRDefault="00000000">
      <w:pPr>
        <w:pStyle w:val="Heading1"/>
      </w:pPr>
      <w:r>
        <w:t>6 Technical Comparison of Existing Work</w:t>
      </w:r>
    </w:p>
    <w:tbl>
      <w:tblPr>
        <w:tblW w:w="0" w:type="auto"/>
        <w:jc w:val="center"/>
        <w:tblLook w:val="04A0" w:firstRow="1" w:lastRow="0" w:firstColumn="1" w:lastColumn="0" w:noHBand="0" w:noVBand="1"/>
      </w:tblPr>
      <w:tblGrid>
        <w:gridCol w:w="1954"/>
        <w:gridCol w:w="1956"/>
        <w:gridCol w:w="1955"/>
        <w:gridCol w:w="1956"/>
        <w:gridCol w:w="1955"/>
      </w:tblGrid>
      <w:tr w:rsidR="009F4F0A" w14:paraId="31E124CE" w14:textId="77777777">
        <w:trPr>
          <w:jc w:val="center"/>
        </w:trPr>
        <w:tc>
          <w:tcPr>
            <w:tcW w:w="1958"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6B381F9D" w14:textId="77777777" w:rsidR="009F4F0A" w:rsidRDefault="00000000">
            <w:pPr>
              <w:spacing w:after="20" w:line="240" w:lineRule="auto"/>
            </w:pPr>
            <w:r>
              <w:rPr>
                <w:b/>
                <w:color w:val="FFFFFF"/>
                <w:sz w:val="16"/>
              </w:rPr>
              <w:t>Source</w:t>
            </w:r>
          </w:p>
        </w:tc>
        <w:tc>
          <w:tcPr>
            <w:tcW w:w="1958"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6321C2BE" w14:textId="77777777" w:rsidR="009F4F0A" w:rsidRDefault="00000000">
            <w:pPr>
              <w:spacing w:after="20" w:line="240" w:lineRule="auto"/>
            </w:pPr>
            <w:r>
              <w:rPr>
                <w:b/>
                <w:color w:val="FFFFFF"/>
                <w:sz w:val="16"/>
              </w:rPr>
              <w:t>Evidence type and method</w:t>
            </w:r>
          </w:p>
        </w:tc>
        <w:tc>
          <w:tcPr>
            <w:tcW w:w="1958"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2138E4D7" w14:textId="77777777" w:rsidR="009F4F0A" w:rsidRDefault="00000000">
            <w:pPr>
              <w:spacing w:after="20" w:line="240" w:lineRule="auto"/>
            </w:pPr>
            <w:r>
              <w:rPr>
                <w:b/>
                <w:color w:val="FFFFFF"/>
                <w:sz w:val="16"/>
              </w:rPr>
              <w:t>Scale or deployment</w:t>
            </w:r>
          </w:p>
        </w:tc>
        <w:tc>
          <w:tcPr>
            <w:tcW w:w="1958"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1EAFE293" w14:textId="77777777" w:rsidR="009F4F0A" w:rsidRDefault="00000000">
            <w:pPr>
              <w:spacing w:after="20" w:line="240" w:lineRule="auto"/>
            </w:pPr>
            <w:r>
              <w:rPr>
                <w:b/>
                <w:color w:val="FFFFFF"/>
                <w:sz w:val="16"/>
              </w:rPr>
              <w:t>Forecasting and allocation</w:t>
            </w:r>
          </w:p>
        </w:tc>
        <w:tc>
          <w:tcPr>
            <w:tcW w:w="1958" w:type="dxa"/>
            <w:tcBorders>
              <w:top w:val="single" w:sz="6" w:space="0" w:color="D9D9D9"/>
              <w:left w:val="single" w:sz="6" w:space="0" w:color="D9D9D9"/>
              <w:bottom w:val="single" w:sz="6" w:space="0" w:color="D9D9D9"/>
              <w:right w:val="single" w:sz="6" w:space="0" w:color="D9D9D9"/>
            </w:tcBorders>
            <w:shd w:val="clear" w:color="auto" w:fill="1F4E78"/>
            <w:vAlign w:val="center"/>
          </w:tcPr>
          <w:p w14:paraId="5C93EC67" w14:textId="77777777" w:rsidR="009F4F0A" w:rsidRDefault="00000000">
            <w:pPr>
              <w:spacing w:after="20" w:line="240" w:lineRule="auto"/>
            </w:pPr>
            <w:r>
              <w:rPr>
                <w:b/>
                <w:color w:val="FFFFFF"/>
                <w:sz w:val="16"/>
              </w:rPr>
              <w:t>Inventory and traceability</w:t>
            </w:r>
          </w:p>
        </w:tc>
      </w:tr>
      <w:tr w:rsidR="009F4F0A" w14:paraId="1B7C2CB8" w14:textId="77777777">
        <w:trPr>
          <w:jc w:val="center"/>
        </w:trPr>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14:paraId="254DB034" w14:textId="77777777" w:rsidR="009F4F0A" w:rsidRDefault="00000000">
            <w:pPr>
              <w:spacing w:after="20" w:line="240" w:lineRule="auto"/>
            </w:pPr>
            <w:r>
              <w:rPr>
                <w:b/>
                <w:color w:val="000000"/>
                <w:sz w:val="16"/>
              </w:rPr>
              <w:t>Rajawat et al. (2025)</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14:paraId="306D8BAA" w14:textId="77777777" w:rsidR="009F4F0A" w:rsidRDefault="00000000">
            <w:pPr>
              <w:spacing w:after="20" w:line="240" w:lineRule="auto"/>
            </w:pPr>
            <w:r>
              <w:rPr>
                <w:color w:val="000000"/>
                <w:sz w:val="16"/>
              </w:rPr>
              <w:t>System proposal; centralized database and workflow.</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14:paraId="7593CB40" w14:textId="77777777" w:rsidR="009F4F0A" w:rsidRDefault="00000000">
            <w:pPr>
              <w:spacing w:after="20" w:line="240" w:lineRule="auto"/>
            </w:pPr>
            <w:r>
              <w:rPr>
                <w:color w:val="000000"/>
                <w:sz w:val="16"/>
              </w:rPr>
              <w:t>Proposed system; empirical deployment detail limited.</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14:paraId="41E955EE" w14:textId="77777777" w:rsidR="009F4F0A" w:rsidRDefault="00000000">
            <w:pPr>
              <w:spacing w:after="20" w:line="240" w:lineRule="auto"/>
            </w:pPr>
            <w:r>
              <w:rPr>
                <w:color w:val="000000"/>
                <w:sz w:val="16"/>
              </w:rPr>
              <w:t>No detailed forecasting; hospital requests included.</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14:paraId="2F9252B8" w14:textId="77777777" w:rsidR="009F4F0A" w:rsidRDefault="00000000">
            <w:pPr>
              <w:spacing w:after="20" w:line="240" w:lineRule="auto"/>
            </w:pPr>
            <w:r>
              <w:rPr>
                <w:color w:val="000000"/>
                <w:sz w:val="16"/>
              </w:rPr>
              <w:t>Donor, screening, inventory, and issuance workflow described.</w:t>
            </w:r>
          </w:p>
        </w:tc>
      </w:tr>
      <w:tr w:rsidR="009F4F0A" w14:paraId="3285BACB" w14:textId="77777777">
        <w:trPr>
          <w:jc w:val="center"/>
        </w:trPr>
        <w:tc>
          <w:tcPr>
            <w:tcW w:w="195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5CC5A73" w14:textId="77777777" w:rsidR="009F4F0A" w:rsidRDefault="00000000">
            <w:pPr>
              <w:spacing w:after="20" w:line="240" w:lineRule="auto"/>
            </w:pPr>
            <w:r>
              <w:rPr>
                <w:b/>
                <w:color w:val="000000"/>
                <w:sz w:val="16"/>
              </w:rPr>
              <w:t>Ben Elmir et al. (2023)</w:t>
            </w:r>
          </w:p>
        </w:tc>
        <w:tc>
          <w:tcPr>
            <w:tcW w:w="195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BB6ABD2" w14:textId="77777777" w:rsidR="009F4F0A" w:rsidRDefault="00000000">
            <w:pPr>
              <w:spacing w:after="20" w:line="240" w:lineRule="auto"/>
            </w:pPr>
            <w:r>
              <w:rPr>
                <w:color w:val="000000"/>
                <w:sz w:val="16"/>
              </w:rPr>
              <w:t>Time-series and machine-learning models.</w:t>
            </w:r>
          </w:p>
        </w:tc>
        <w:tc>
          <w:tcPr>
            <w:tcW w:w="195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9EA5A0C" w14:textId="77777777" w:rsidR="009F4F0A" w:rsidRDefault="00000000">
            <w:pPr>
              <w:spacing w:after="20" w:line="240" w:lineRule="auto"/>
            </w:pPr>
            <w:r>
              <w:rPr>
                <w:color w:val="000000"/>
                <w:sz w:val="16"/>
              </w:rPr>
              <w:t>Algerian regional case study using historical data.</w:t>
            </w:r>
          </w:p>
        </w:tc>
        <w:tc>
          <w:tcPr>
            <w:tcW w:w="195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E8D787E" w14:textId="77777777" w:rsidR="009F4F0A" w:rsidRDefault="00000000">
            <w:pPr>
              <w:spacing w:after="20" w:line="240" w:lineRule="auto"/>
            </w:pPr>
            <w:r>
              <w:rPr>
                <w:color w:val="000000"/>
                <w:sz w:val="16"/>
              </w:rPr>
              <w:t>Forecasting and donor classification; allocation is not fully modeled.</w:t>
            </w:r>
          </w:p>
        </w:tc>
        <w:tc>
          <w:tcPr>
            <w:tcW w:w="195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4545677" w14:textId="77777777" w:rsidR="009F4F0A" w:rsidRDefault="00000000">
            <w:pPr>
              <w:spacing w:after="20" w:line="240" w:lineRule="auto"/>
            </w:pPr>
            <w:r>
              <w:rPr>
                <w:color w:val="000000"/>
                <w:sz w:val="16"/>
              </w:rPr>
              <w:t>Supply-management context; component-level operational detail limited.</w:t>
            </w:r>
          </w:p>
        </w:tc>
      </w:tr>
      <w:tr w:rsidR="009F4F0A" w14:paraId="527C275D" w14:textId="77777777">
        <w:trPr>
          <w:jc w:val="center"/>
        </w:trPr>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14:paraId="4F5BD3FD" w14:textId="77777777" w:rsidR="009F4F0A" w:rsidRDefault="00000000">
            <w:pPr>
              <w:spacing w:after="20" w:line="240" w:lineRule="auto"/>
            </w:pPr>
            <w:r>
              <w:rPr>
                <w:b/>
                <w:color w:val="000000"/>
                <w:sz w:val="16"/>
              </w:rPr>
              <w:t>Li et al. (2023)</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14:paraId="10E06D60" w14:textId="77777777" w:rsidR="009F4F0A" w:rsidRDefault="00000000">
            <w:pPr>
              <w:spacing w:after="20" w:line="240" w:lineRule="auto"/>
            </w:pPr>
            <w:r>
              <w:rPr>
                <w:color w:val="000000"/>
                <w:sz w:val="16"/>
              </w:rPr>
              <w:t>Narrative review of computational studies.</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14:paraId="0CD0B4E6" w14:textId="77777777" w:rsidR="009F4F0A" w:rsidRDefault="00000000">
            <w:pPr>
              <w:spacing w:after="20" w:line="240" w:lineRule="auto"/>
            </w:pPr>
            <w:r>
              <w:rPr>
                <w:color w:val="000000"/>
                <w:sz w:val="16"/>
              </w:rPr>
              <w:t>Evidence across multiple studies and settings.</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14:paraId="3DB897CC" w14:textId="77777777" w:rsidR="009F4F0A" w:rsidRDefault="00000000">
            <w:pPr>
              <w:spacing w:after="20" w:line="240" w:lineRule="auto"/>
            </w:pPr>
            <w:r>
              <w:rPr>
                <w:color w:val="000000"/>
                <w:sz w:val="16"/>
              </w:rPr>
              <w:t>Regression, ML, hybrid, and time-series methods; generalizability concerns.</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14:paraId="6DA44872" w14:textId="77777777" w:rsidR="009F4F0A" w:rsidRDefault="00000000">
            <w:pPr>
              <w:spacing w:after="20" w:line="240" w:lineRule="auto"/>
            </w:pPr>
            <w:r>
              <w:rPr>
                <w:color w:val="000000"/>
                <w:sz w:val="16"/>
              </w:rPr>
              <w:t>Inventory-management implications; compatibility often under-modeled.</w:t>
            </w:r>
          </w:p>
        </w:tc>
      </w:tr>
      <w:tr w:rsidR="009F4F0A" w14:paraId="3A4EE8B1" w14:textId="77777777">
        <w:trPr>
          <w:jc w:val="center"/>
        </w:trPr>
        <w:tc>
          <w:tcPr>
            <w:tcW w:w="195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FFEEE7A" w14:textId="77777777" w:rsidR="009F4F0A" w:rsidRDefault="00000000">
            <w:pPr>
              <w:spacing w:after="20" w:line="240" w:lineRule="auto"/>
            </w:pPr>
            <w:r>
              <w:rPr>
                <w:b/>
                <w:color w:val="000000"/>
                <w:sz w:val="16"/>
              </w:rPr>
              <w:t>Kaya and Ozkok (2020)</w:t>
            </w:r>
          </w:p>
        </w:tc>
        <w:tc>
          <w:tcPr>
            <w:tcW w:w="195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20FBA66" w14:textId="77777777" w:rsidR="009F4F0A" w:rsidRDefault="00000000">
            <w:pPr>
              <w:spacing w:after="20" w:line="240" w:lineRule="auto"/>
            </w:pPr>
            <w:r>
              <w:rPr>
                <w:color w:val="000000"/>
                <w:sz w:val="16"/>
              </w:rPr>
              <w:t>MINLP, approximation, and simulated annealing.</w:t>
            </w:r>
          </w:p>
        </w:tc>
        <w:tc>
          <w:tcPr>
            <w:tcW w:w="195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06ED376" w14:textId="77777777" w:rsidR="009F4F0A" w:rsidRDefault="00000000">
            <w:pPr>
              <w:spacing w:after="20" w:line="240" w:lineRule="auto"/>
            </w:pPr>
            <w:r>
              <w:rPr>
                <w:color w:val="000000"/>
                <w:sz w:val="16"/>
              </w:rPr>
              <w:t>Real-life Istanbul network case study.</w:t>
            </w:r>
          </w:p>
        </w:tc>
        <w:tc>
          <w:tcPr>
            <w:tcW w:w="195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6B3522D" w14:textId="77777777" w:rsidR="009F4F0A" w:rsidRDefault="00000000">
            <w:pPr>
              <w:spacing w:after="20" w:line="240" w:lineRule="auto"/>
            </w:pPr>
            <w:r>
              <w:rPr>
                <w:color w:val="000000"/>
                <w:sz w:val="16"/>
              </w:rPr>
              <w:t>Network allocation, facility assignment, and routing; no AI forecasting focus.</w:t>
            </w:r>
          </w:p>
        </w:tc>
        <w:tc>
          <w:tcPr>
            <w:tcW w:w="195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86448EF" w14:textId="77777777" w:rsidR="009F4F0A" w:rsidRDefault="00000000">
            <w:pPr>
              <w:spacing w:after="20" w:line="240" w:lineRule="auto"/>
            </w:pPr>
            <w:r>
              <w:rPr>
                <w:color w:val="000000"/>
                <w:sz w:val="16"/>
              </w:rPr>
              <w:t>Inventory decisions and distribution; unit-level traceability not the focus.</w:t>
            </w:r>
          </w:p>
        </w:tc>
      </w:tr>
      <w:tr w:rsidR="009F4F0A" w14:paraId="3BC5AC48" w14:textId="77777777">
        <w:trPr>
          <w:jc w:val="center"/>
        </w:trPr>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14:paraId="0041AF7D" w14:textId="77777777" w:rsidR="009F4F0A" w:rsidRDefault="00000000">
            <w:pPr>
              <w:spacing w:after="20" w:line="240" w:lineRule="auto"/>
            </w:pPr>
            <w:r>
              <w:rPr>
                <w:b/>
                <w:color w:val="000000"/>
                <w:sz w:val="16"/>
              </w:rPr>
              <w:t>Arani et al. (2021)</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14:paraId="72F5F213" w14:textId="77777777" w:rsidR="009F4F0A" w:rsidRDefault="00000000">
            <w:pPr>
              <w:spacing w:after="20" w:line="240" w:lineRule="auto"/>
            </w:pPr>
            <w:r>
              <w:rPr>
                <w:color w:val="000000"/>
                <w:sz w:val="16"/>
              </w:rPr>
              <w:t>Stochastic multi-objective mixed-integer optimization.</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14:paraId="6054AE6D" w14:textId="77777777" w:rsidR="009F4F0A" w:rsidRDefault="00000000">
            <w:pPr>
              <w:spacing w:after="20" w:line="240" w:lineRule="auto"/>
            </w:pPr>
            <w:r>
              <w:rPr>
                <w:color w:val="000000"/>
                <w:sz w:val="16"/>
              </w:rPr>
              <w:t>Modeled multi-level network under uncertainty.</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14:paraId="2BB4667D" w14:textId="77777777" w:rsidR="009F4F0A" w:rsidRDefault="00000000">
            <w:pPr>
              <w:spacing w:after="20" w:line="240" w:lineRule="auto"/>
            </w:pPr>
            <w:r>
              <w:rPr>
                <w:color w:val="000000"/>
                <w:sz w:val="16"/>
              </w:rPr>
              <w:t>Allocation and lateral resupply with uncertain demand.</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14:paraId="42CC898D" w14:textId="77777777" w:rsidR="009F4F0A" w:rsidRDefault="00000000">
            <w:pPr>
              <w:spacing w:after="20" w:line="240" w:lineRule="auto"/>
            </w:pPr>
            <w:r>
              <w:rPr>
                <w:color w:val="000000"/>
                <w:sz w:val="16"/>
              </w:rPr>
              <w:t>ABO-Rh, shelf life, outdated units, and inventory sharing included.</w:t>
            </w:r>
          </w:p>
        </w:tc>
      </w:tr>
      <w:tr w:rsidR="009F4F0A" w14:paraId="4919A108" w14:textId="77777777">
        <w:trPr>
          <w:jc w:val="center"/>
        </w:trPr>
        <w:tc>
          <w:tcPr>
            <w:tcW w:w="195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96F19A1" w14:textId="77777777" w:rsidR="009F4F0A" w:rsidRDefault="00000000">
            <w:pPr>
              <w:spacing w:after="20" w:line="240" w:lineRule="auto"/>
            </w:pPr>
            <w:r>
              <w:rPr>
                <w:b/>
                <w:color w:val="000000"/>
                <w:sz w:val="16"/>
              </w:rPr>
              <w:t>e-RaktKosh</w:t>
            </w:r>
          </w:p>
        </w:tc>
        <w:tc>
          <w:tcPr>
            <w:tcW w:w="195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636F64E" w14:textId="77777777" w:rsidR="009F4F0A" w:rsidRDefault="00000000">
            <w:pPr>
              <w:spacing w:after="20" w:line="240" w:lineRule="auto"/>
            </w:pPr>
            <w:r>
              <w:rPr>
                <w:color w:val="000000"/>
                <w:sz w:val="16"/>
              </w:rPr>
              <w:t>Operational centralized public-sector system.</w:t>
            </w:r>
          </w:p>
        </w:tc>
        <w:tc>
          <w:tcPr>
            <w:tcW w:w="195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593C662" w14:textId="77777777" w:rsidR="009F4F0A" w:rsidRDefault="00000000">
            <w:pPr>
              <w:spacing w:after="20" w:line="240" w:lineRule="auto"/>
            </w:pPr>
            <w:r>
              <w:rPr>
                <w:color w:val="000000"/>
                <w:sz w:val="16"/>
              </w:rPr>
              <w:t>Registered blood centers in India; national scale.</w:t>
            </w:r>
          </w:p>
        </w:tc>
        <w:tc>
          <w:tcPr>
            <w:tcW w:w="195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12E7259" w14:textId="77777777" w:rsidR="009F4F0A" w:rsidRDefault="00000000">
            <w:pPr>
              <w:spacing w:after="20" w:line="240" w:lineRule="auto"/>
            </w:pPr>
            <w:r>
              <w:rPr>
                <w:color w:val="000000"/>
                <w:sz w:val="16"/>
              </w:rPr>
              <w:t>Availability search and decision support are documented; forecasting detail is unclear.</w:t>
            </w:r>
          </w:p>
        </w:tc>
        <w:tc>
          <w:tcPr>
            <w:tcW w:w="195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DE58484" w14:textId="77777777" w:rsidR="009F4F0A" w:rsidRDefault="00000000">
            <w:pPr>
              <w:spacing w:after="20" w:line="240" w:lineRule="auto"/>
            </w:pPr>
            <w:r>
              <w:rPr>
                <w:color w:val="000000"/>
                <w:sz w:val="16"/>
              </w:rPr>
              <w:t>Donors, screening, components, inventory, requisition, alerts, and reports.</w:t>
            </w:r>
          </w:p>
        </w:tc>
      </w:tr>
      <w:tr w:rsidR="009F4F0A" w14:paraId="3F39EA55" w14:textId="77777777">
        <w:trPr>
          <w:jc w:val="center"/>
        </w:trPr>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14:paraId="77438B04" w14:textId="77777777" w:rsidR="009F4F0A" w:rsidRDefault="00000000">
            <w:pPr>
              <w:spacing w:after="20" w:line="240" w:lineRule="auto"/>
            </w:pPr>
            <w:r>
              <w:rPr>
                <w:b/>
                <w:color w:val="000000"/>
                <w:sz w:val="16"/>
              </w:rPr>
              <w:t>BloodNet</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14:paraId="753913DB" w14:textId="77777777" w:rsidR="009F4F0A" w:rsidRDefault="00000000">
            <w:pPr>
              <w:spacing w:after="20" w:line="240" w:lineRule="auto"/>
            </w:pPr>
            <w:r>
              <w:rPr>
                <w:color w:val="000000"/>
                <w:sz w:val="16"/>
              </w:rPr>
              <w:t>Operational ordering and inventory system.</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14:paraId="29BBBF0E" w14:textId="77777777" w:rsidR="009F4F0A" w:rsidRDefault="00000000">
            <w:pPr>
              <w:spacing w:after="20" w:line="240" w:lineRule="auto"/>
            </w:pPr>
            <w:r>
              <w:rPr>
                <w:color w:val="000000"/>
                <w:sz w:val="16"/>
              </w:rPr>
              <w:t>Australian national blood-supply structure.</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14:paraId="229D57BA" w14:textId="77777777" w:rsidR="009F4F0A" w:rsidRDefault="00000000">
            <w:pPr>
              <w:spacing w:after="20" w:line="240" w:lineRule="auto"/>
            </w:pPr>
            <w:r>
              <w:rPr>
                <w:color w:val="000000"/>
                <w:sz w:val="16"/>
              </w:rPr>
              <w:t>Ordering and inventory planning; project-specific forecasting detail is not the focus.</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14:paraId="093B33AB" w14:textId="77777777" w:rsidR="009F4F0A" w:rsidRDefault="00000000">
            <w:pPr>
              <w:spacing w:after="20" w:line="240" w:lineRule="auto"/>
            </w:pPr>
            <w:r>
              <w:rPr>
                <w:color w:val="000000"/>
                <w:sz w:val="16"/>
              </w:rPr>
              <w:t>Inventory and final unit fate such as transfer, transfusion, or disposal.</w:t>
            </w:r>
          </w:p>
        </w:tc>
      </w:tr>
      <w:tr w:rsidR="009F4F0A" w14:paraId="3F39EA55" w14:textId="77777777">
        <w:trPr>
          <w:jc w:val="center"/>
        </w:trPr>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pPr>
              <w:spacing w:after="0"/>
            </w:pPr>
            <w:r>
              <w:rPr>
                <w:b/>
                <w:sz w:val="17"/>
              </w:rPr>
              <w:t>NHSBT OBOS</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pPr>
              <w:spacing w:after="0"/>
            </w:pPr>
            <w:r>
              <w:rPr>
                <w:sz w:val="17"/>
              </w:rPr>
              <w:t>Operational hospital ordering system.</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pPr>
              <w:spacing w:after="0"/>
            </w:pPr>
            <w:r>
              <w:rPr>
                <w:sz w:val="17"/>
              </w:rPr>
              <w:t>England; live NHS Blood and Transplant hospital service.</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pPr>
              <w:spacing w:after="0"/>
            </w:pPr>
            <w:r>
              <w:rPr>
                <w:sz w:val="17"/>
              </w:rPr>
              <w:t>Online component orders; forecast and nearest-source rule not described publicly.</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pPr>
              <w:spacing w:after="0"/>
            </w:pPr>
            <w:r>
              <w:rPr>
                <w:sz w:val="17"/>
              </w:rPr>
              <w:t>Order workflow; stock search not established in cited OBOS page.</w:t>
            </w:r>
          </w:p>
        </w:tc>
      </w:tr>
      <w:tr w:rsidR="009F4F0A" w14:paraId="3F39EA55" w14:textId="77777777">
        <w:trPr>
          <w:jc w:val="center"/>
        </w:trPr>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pPr>
              <w:spacing w:after="0"/>
            </w:pPr>
            <w:r>
              <w:rPr>
                <w:b/>
                <w:sz w:val="17"/>
              </w:rPr>
              <w:t>American Red Cross Connect</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pPr>
              <w:spacing w:after="0"/>
            </w:pPr>
            <w:r>
              <w:rPr>
                <w:sz w:val="17"/>
              </w:rPr>
              <w:t>Operational hospital order-management service.</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pPr>
              <w:spacing w:after="0"/>
            </w:pPr>
            <w:r>
              <w:rPr>
                <w:sz w:val="17"/>
              </w:rPr>
              <w:t>United States; Red Cross hospital partners.</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pPr>
              <w:spacing w:after="0"/>
            </w:pPr>
            <w:r>
              <w:rPr>
                <w:sz w:val="17"/>
              </w:rPr>
              <w:t>Product orders; forecast and nearest-source rule not described publicly.</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pPr>
              <w:spacing w:after="0"/>
            </w:pPr>
            <w:r>
              <w:rPr>
                <w:sz w:val="17"/>
              </w:rPr>
              <w:t>Inventory management and blood-product movement tracking.</w:t>
            </w:r>
          </w:p>
        </w:tc>
      </w:tr>
      <w:tr w:rsidR="009F4F0A" w14:paraId="3F39EA55" w14:textId="77777777">
        <w:trPr>
          <w:jc w:val="center"/>
        </w:trPr>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pPr>
              <w:spacing w:after="0"/>
            </w:pPr>
            <w:r>
              <w:rPr>
                <w:b/>
                <w:sz w:val="17"/>
              </w:rPr>
              <w:t>Canadian Blood Services Hospital Portal</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pPr>
              <w:spacing w:after="0"/>
            </w:pPr>
            <w:r>
              <w:rPr>
                <w:sz w:val="17"/>
              </w:rPr>
              <w:t>Operational hospital inventory and disposition portal.</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pPr>
              <w:spacing w:after="0"/>
            </w:pPr>
            <w:r>
              <w:rPr>
                <w:sz w:val="17"/>
              </w:rPr>
              <w:t>Canada; participating hospital users.</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pPr>
              <w:spacing w:after="0"/>
            </w:pPr>
            <w:r>
              <w:rPr>
                <w:sz w:val="17"/>
              </w:rPr>
              <w:t>Inventory and disposition reporting; ordering not described on cited Portal page.</w:t>
            </w:r>
          </w:p>
        </w:tc>
        <w:tc>
          <w:tcPr>
            <w:tcW w:w="1958" w:type="dxa"/>
            <w:tcBorders>
              <w:top w:val="single" w:sz="6" w:space="0" w:color="D9D9D9"/>
              <w:left w:val="single" w:sz="6" w:space="0" w:color="D9D9D9"/>
              <w:bottom w:val="single" w:sz="6" w:space="0" w:color="D9D9D9"/>
              <w:right w:val="single" w:sz="6" w:space="0" w:color="D9D9D9"/>
            </w:tcBorders>
            <w:shd w:val="clear" w:color="auto" w:fill="F3F5F7"/>
            <w:vAlign w:val="center"/>
          </w:tcPr>
          <w:p>
            <w:pPr>
              <w:spacing w:after="0"/>
            </w:pPr>
            <w:r>
              <w:rPr>
                <w:sz w:val="17"/>
              </w:rPr>
              <w:t>Inventory entry, disposition reporting, trend and peer reports.</w:t>
            </w:r>
          </w:p>
        </w:tc>
      </w:tr>
    </w:tbl>
    <w:p w14:paraId="2BDF9619" w14:textId="77777777" w:rsidR="009F4F0A" w:rsidRDefault="009F4F0A">
      <w:pPr>
        <w:spacing w:after="40"/>
      </w:pPr>
    </w:p>
    <w:p w14:paraId="3B8E010B" w14:textId="77777777" w:rsidR="009F4F0A" w:rsidRDefault="00000000">
      <w:pPr>
        <w:ind w:firstLine="360"/>
      </w:pPr>
      <w:r>
        <w:t>The matrix shows that the existing work is distributed across different technical objectives. Forecasting studies focus on prediction, optimization studies focus on allocation and network decisions, and operational systems focus on workflow and traceability. No source should be treated as a complete substitute for all the others.</w:t>
      </w:r>
    </w:p>
    <w:p w14:paraId="51CAD32B" w14:textId="77777777" w:rsidR="009F4F0A" w:rsidRDefault="00000000">
      <w:r/>
    </w:p>
    <w:p w14:paraId="6D140018" w14:textId="77777777" w:rsidR="009F4F0A" w:rsidRDefault="00000000">
      <w:pPr>
        <w:pStyle w:val="Heading1"/>
        <w:pageBreakBefore/>
      </w:pPr>
      <w:r>
        <w:t>7 Applied System Feature Comparison</w:t>
      </w:r>
    </w:p>
    <w:p>
      <w:r>
        <w:t>Each column below is a task a donor, hospital worker, or blood-bank worker can recognize:</w:t>
      </w:r>
    </w:p>
    <w:tbl>
      <w:tblPr>
        <w:tblW w:type="auto" w:w="0"/>
        <w:jc w:val="center"/>
        <w:tblLayout w:type="fixed"/>
        <w:tblLook w:firstColumn="1" w:firstRow="1" w:lastColumn="0" w:lastRow="0" w:noHBand="0" w:noVBand="1" w:val="04A0"/>
      </w:tblPr>
      <w:tblGrid>
        <w:gridCol w:w="1685"/>
        <w:gridCol w:w="1022"/>
        <w:gridCol w:w="1224"/>
        <w:gridCol w:w="1195"/>
        <w:gridCol w:w="1224"/>
        <w:gridCol w:w="1195"/>
        <w:gridCol w:w="950"/>
        <w:gridCol w:w="1296"/>
      </w:tblGrid>
      <w:tr>
        <w:trPr>
          <w:tblHeader w:val="true"/>
        </w:trPr>
        <w:tc>
          <w:tcPr>
            <w:tcW w:type="dxa" w:w="1685"/>
            <w:vAlign w:val="center"/>
            <w:tcMar>
              <w:top w:w="82" w:type="dxa"/>
              <w:left w:w="82" w:type="dxa"/>
              <w:bottom w:w="82" w:type="dxa"/>
              <w:right w:w="82" w:type="dxa"/>
            </w:tcMar>
            <w:shd w:fill="23405F"/>
            <w:tcBorders>
              <w:top w:val="single" w:sz="4" w:color="D9D9D9"/>
              <w:left w:val="single" w:sz="4" w:color="D9D9D9"/>
              <w:bottom w:val="single" w:sz="4" w:color="D9D9D9"/>
              <w:right w:val="single" w:sz="4" w:color="D9D9D9"/>
            </w:tcBorders>
          </w:tcPr>
          <w:p>
            <w:r>
              <w:t>System</w:t>
            </w:r>
          </w:p>
        </w:tc>
        <w:tc>
          <w:tcPr>
            <w:tcW w:type="dxa" w:w="1022"/>
            <w:vAlign w:val="center"/>
            <w:tcMar>
              <w:top w:w="82" w:type="dxa"/>
              <w:left w:w="82" w:type="dxa"/>
              <w:bottom w:w="82" w:type="dxa"/>
              <w:right w:w="82" w:type="dxa"/>
            </w:tcMar>
            <w:shd w:fill="23405F"/>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b/>
                <w:color w:val="FFFFFF"/>
                <w:sz w:val="15"/>
              </w:rPr>
              <w:t>Register donors</w:t>
            </w:r>
          </w:p>
        </w:tc>
        <w:tc>
          <w:tcPr>
            <w:tcW w:type="dxa" w:w="1224"/>
            <w:vAlign w:val="center"/>
            <w:tcMar>
              <w:top w:w="82" w:type="dxa"/>
              <w:left w:w="82" w:type="dxa"/>
              <w:bottom w:w="82" w:type="dxa"/>
              <w:right w:w="82" w:type="dxa"/>
            </w:tcMar>
            <w:shd w:fill="23405F"/>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b/>
                <w:color w:val="FFFFFF"/>
                <w:sz w:val="15"/>
              </w:rPr>
              <w:t>Search stock by type</w:t>
            </w:r>
          </w:p>
        </w:tc>
        <w:tc>
          <w:tcPr>
            <w:tcW w:type="dxa" w:w="1195"/>
            <w:vAlign w:val="center"/>
            <w:tcMar>
              <w:top w:w="82" w:type="dxa"/>
              <w:left w:w="82" w:type="dxa"/>
              <w:bottom w:w="82" w:type="dxa"/>
              <w:right w:w="82" w:type="dxa"/>
            </w:tcMar>
            <w:shd w:fill="23405F"/>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b/>
                <w:color w:val="FFFFFF"/>
                <w:sz w:val="15"/>
              </w:rPr>
              <w:t>Send blood request</w:t>
            </w:r>
          </w:p>
        </w:tc>
        <w:tc>
          <w:tcPr>
            <w:tcW w:type="dxa" w:w="1224"/>
            <w:vAlign w:val="center"/>
            <w:tcMar>
              <w:top w:w="82" w:type="dxa"/>
              <w:left w:w="82" w:type="dxa"/>
              <w:bottom w:w="82" w:type="dxa"/>
              <w:right w:w="82" w:type="dxa"/>
            </w:tcMar>
            <w:shd w:fill="23405F"/>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b/>
                <w:color w:val="FFFFFF"/>
                <w:sz w:val="15"/>
              </w:rPr>
              <w:t>Find nearby bank</w:t>
            </w:r>
          </w:p>
        </w:tc>
        <w:tc>
          <w:tcPr>
            <w:tcW w:type="dxa" w:w="1195"/>
            <w:vAlign w:val="center"/>
            <w:tcMar>
              <w:top w:w="82" w:type="dxa"/>
              <w:left w:w="82" w:type="dxa"/>
              <w:bottom w:w="82" w:type="dxa"/>
              <w:right w:w="82" w:type="dxa"/>
            </w:tcMar>
            <w:shd w:fill="23405F"/>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b/>
                <w:color w:val="FFFFFF"/>
                <w:sz w:val="15"/>
              </w:rPr>
              <w:t>Check full quantity</w:t>
            </w:r>
          </w:p>
        </w:tc>
        <w:tc>
          <w:tcPr>
            <w:tcW w:type="dxa" w:w="950"/>
            <w:vAlign w:val="center"/>
            <w:tcMar>
              <w:top w:w="82" w:type="dxa"/>
              <w:left w:w="82" w:type="dxa"/>
              <w:bottom w:w="82" w:type="dxa"/>
              <w:right w:w="82" w:type="dxa"/>
            </w:tcMar>
            <w:shd w:fill="23405F"/>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b/>
                <w:color w:val="FFFFFF"/>
                <w:sz w:val="15"/>
              </w:rPr>
              <w:t>Reserve units</w:t>
            </w:r>
          </w:p>
        </w:tc>
        <w:tc>
          <w:tcPr>
            <w:tcW w:type="dxa" w:w="1296"/>
            <w:vAlign w:val="center"/>
            <w:tcMar>
              <w:top w:w="82" w:type="dxa"/>
              <w:left w:w="82" w:type="dxa"/>
              <w:bottom w:w="82" w:type="dxa"/>
              <w:right w:w="82" w:type="dxa"/>
            </w:tcMar>
            <w:shd w:fill="23405F"/>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b/>
                <w:color w:val="FFFFFF"/>
                <w:sz w:val="15"/>
              </w:rPr>
              <w:t>View demand forecast</w:t>
            </w:r>
          </w:p>
        </w:tc>
      </w:tr>
      <w:tr>
        <w:tc>
          <w:tcPr>
            <w:tcW w:type="dxa" w:w="1685"/>
            <w:vAlign w:val="center"/>
            <w:tcMar>
              <w:top w:w="82" w:type="dxa"/>
              <w:left w:w="82" w:type="dxa"/>
              <w:bottom w:w="82" w:type="dxa"/>
              <w:right w:w="82" w:type="dxa"/>
            </w:tcMar>
            <w:shd w:fill="FFFFFF"/>
            <w:tcBorders>
              <w:top w:val="single" w:sz="4" w:color="D9D9D9"/>
              <w:left w:val="single" w:sz="4" w:color="D9D9D9"/>
              <w:bottom w:val="single" w:sz="4" w:color="D9D9D9"/>
              <w:right w:val="single" w:sz="4" w:color="D9D9D9"/>
            </w:tcBorders>
          </w:tcPr>
          <w:p>
            <w:pPr>
              <w:spacing w:after="0" w:line="252" w:lineRule="auto"/>
              <w:jc w:val="left"/>
            </w:pPr>
            <w:r>
              <w:rPr>
                <w:rFonts w:ascii="Aptos" w:hAnsi="Aptos"/>
                <w:sz w:val="16"/>
              </w:rPr>
              <w:t>e-RaktKosh</w:t>
            </w:r>
          </w:p>
        </w:tc>
        <w:tc>
          <w:tcPr>
            <w:tcW w:type="dxa" w:w="1022"/>
            <w:vAlign w:val="center"/>
            <w:tcMar>
              <w:top w:w="82" w:type="dxa"/>
              <w:left w:w="82" w:type="dxa"/>
              <w:bottom w:w="82" w:type="dxa"/>
              <w:right w:w="82" w:type="dxa"/>
            </w:tcMar>
            <w:shd w:fill="FFFFFF"/>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126E4D"/>
                <w:sz w:val="16"/>
              </w:rPr>
              <w:t>✓</w:t>
            </w:r>
          </w:p>
        </w:tc>
        <w:tc>
          <w:tcPr>
            <w:tcW w:type="dxa" w:w="1224"/>
            <w:vAlign w:val="center"/>
            <w:tcMar>
              <w:top w:w="82" w:type="dxa"/>
              <w:left w:w="82" w:type="dxa"/>
              <w:bottom w:w="82" w:type="dxa"/>
              <w:right w:w="82" w:type="dxa"/>
            </w:tcMar>
            <w:shd w:fill="FFFFFF"/>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126E4D"/>
                <w:sz w:val="16"/>
              </w:rPr>
              <w:t>✓</w:t>
            </w:r>
          </w:p>
        </w:tc>
        <w:tc>
          <w:tcPr>
            <w:tcW w:type="dxa" w:w="1195"/>
            <w:vAlign w:val="center"/>
            <w:tcMar>
              <w:top w:w="82" w:type="dxa"/>
              <w:left w:w="82" w:type="dxa"/>
              <w:bottom w:w="82" w:type="dxa"/>
              <w:right w:w="82" w:type="dxa"/>
            </w:tcMar>
            <w:shd w:fill="FFFFFF"/>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126E4D"/>
                <w:sz w:val="16"/>
              </w:rPr>
              <w:t>✓</w:t>
            </w:r>
          </w:p>
        </w:tc>
        <w:tc>
          <w:tcPr>
            <w:tcW w:type="dxa" w:w="1224"/>
            <w:vAlign w:val="center"/>
            <w:tcMar>
              <w:top w:w="82" w:type="dxa"/>
              <w:left w:w="82" w:type="dxa"/>
              <w:bottom w:w="82" w:type="dxa"/>
              <w:right w:w="82" w:type="dxa"/>
            </w:tcMar>
            <w:shd w:fill="FFFFFF"/>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126E4D"/>
                <w:sz w:val="16"/>
              </w:rPr>
              <w:t>✓</w:t>
            </w:r>
          </w:p>
        </w:tc>
        <w:tc>
          <w:tcPr>
            <w:tcW w:type="dxa" w:w="1195"/>
            <w:vAlign w:val="center"/>
            <w:tcMar>
              <w:top w:w="82" w:type="dxa"/>
              <w:left w:w="82" w:type="dxa"/>
              <w:bottom w:w="82" w:type="dxa"/>
              <w:right w:w="82" w:type="dxa"/>
            </w:tcMar>
            <w:shd w:fill="FFFFFF"/>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sz w:val="16"/>
              </w:rPr>
              <w:t>Stock list</w:t>
            </w:r>
          </w:p>
        </w:tc>
        <w:tc>
          <w:tcPr>
            <w:tcW w:type="dxa" w:w="950"/>
            <w:vAlign w:val="center"/>
            <w:tcMar>
              <w:top w:w="82" w:type="dxa"/>
              <w:left w:w="82" w:type="dxa"/>
              <w:bottom w:w="82" w:type="dxa"/>
              <w:right w:w="82" w:type="dxa"/>
            </w:tcMar>
            <w:shd w:fill="FFFFFF"/>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sz w:val="16"/>
              </w:rPr>
              <w:t>Not stated</w:t>
            </w:r>
          </w:p>
        </w:tc>
        <w:tc>
          <w:tcPr>
            <w:tcW w:type="dxa" w:w="1296"/>
            <w:vAlign w:val="center"/>
            <w:tcMar>
              <w:top w:w="82" w:type="dxa"/>
              <w:left w:w="82" w:type="dxa"/>
              <w:bottom w:w="82" w:type="dxa"/>
              <w:right w:w="82" w:type="dxa"/>
            </w:tcMar>
            <w:shd w:fill="FFFFFF"/>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sz w:val="16"/>
              </w:rPr>
              <w:t>Not stated</w:t>
            </w:r>
          </w:p>
        </w:tc>
      </w:tr>
      <w:tr>
        <w:tc>
          <w:tcPr>
            <w:tcW w:type="dxa" w:w="1685"/>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left"/>
            </w:pPr>
            <w:r>
              <w:rPr>
                <w:rFonts w:ascii="Aptos" w:hAnsi="Aptos"/>
                <w:sz w:val="16"/>
              </w:rPr>
              <w:t>BloodNet</w:t>
            </w:r>
          </w:p>
        </w:tc>
        <w:tc>
          <w:tcPr>
            <w:tcW w:type="dxa" w:w="1022"/>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AA2D2D"/>
                <w:sz w:val="16"/>
              </w:rPr>
              <w:t>✕</w:t>
            </w:r>
          </w:p>
        </w:tc>
        <w:tc>
          <w:tcPr>
            <w:tcW w:type="dxa" w:w="1224"/>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126E4D"/>
                <w:sz w:val="16"/>
              </w:rPr>
              <w:t>✓</w:t>
            </w:r>
          </w:p>
        </w:tc>
        <w:tc>
          <w:tcPr>
            <w:tcW w:type="dxa" w:w="1195"/>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126E4D"/>
                <w:sz w:val="16"/>
              </w:rPr>
              <w:t>✓</w:t>
            </w:r>
          </w:p>
        </w:tc>
        <w:tc>
          <w:tcPr>
            <w:tcW w:type="dxa" w:w="1224"/>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sz w:val="16"/>
              </w:rPr>
              <w:t>Not stated</w:t>
            </w:r>
          </w:p>
        </w:tc>
        <w:tc>
          <w:tcPr>
            <w:tcW w:type="dxa" w:w="1195"/>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sz w:val="16"/>
              </w:rPr>
              <w:t>Inventory view</w:t>
            </w:r>
          </w:p>
        </w:tc>
        <w:tc>
          <w:tcPr>
            <w:tcW w:type="dxa" w:w="950"/>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sz w:val="16"/>
              </w:rPr>
              <w:t>Not stated</w:t>
            </w:r>
          </w:p>
        </w:tc>
        <w:tc>
          <w:tcPr>
            <w:tcW w:type="dxa" w:w="1296"/>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sz w:val="16"/>
              </w:rPr>
              <w:t>Not stated</w:t>
            </w:r>
          </w:p>
        </w:tc>
      </w:tr>
      <w:tr>
        <w:tc>
          <w:tcPr>
            <w:tcW w:type="dxa" w:w="1685"/>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left"/>
            </w:pPr>
            <w:r>
              <w:rPr>
                <w:rFonts w:ascii="Aptos" w:hAnsi="Aptos"/>
                <w:color w:val="000000"/>
                <w:sz w:val="16"/>
              </w:rPr>
              <w:t>NHSBT OBOS</w:t>
            </w:r>
          </w:p>
        </w:tc>
        <w:tc>
          <w:tcPr>
            <w:tcW w:type="dxa" w:w="1022"/>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AA2D2D"/>
                <w:sz w:val="16"/>
              </w:rPr>
              <w:t>✕</w:t>
            </w:r>
          </w:p>
        </w:tc>
        <w:tc>
          <w:tcPr>
            <w:tcW w:type="dxa" w:w="1224"/>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000000"/>
                <w:sz w:val="16"/>
              </w:rPr>
              <w:t>Not stated</w:t>
            </w:r>
          </w:p>
        </w:tc>
        <w:tc>
          <w:tcPr>
            <w:tcW w:type="dxa" w:w="1195"/>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126E4D"/>
                <w:sz w:val="16"/>
              </w:rPr>
              <w:t>✓</w:t>
            </w:r>
          </w:p>
        </w:tc>
        <w:tc>
          <w:tcPr>
            <w:tcW w:type="dxa" w:w="1224"/>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000000"/>
                <w:sz w:val="16"/>
              </w:rPr>
              <w:t>Not stated</w:t>
            </w:r>
          </w:p>
        </w:tc>
        <w:tc>
          <w:tcPr>
            <w:tcW w:type="dxa" w:w="1195"/>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000000"/>
                <w:sz w:val="16"/>
              </w:rPr>
              <w:t>Not stated</w:t>
            </w:r>
          </w:p>
        </w:tc>
        <w:tc>
          <w:tcPr>
            <w:tcW w:type="dxa" w:w="950"/>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000000"/>
                <w:sz w:val="16"/>
              </w:rPr>
              <w:t>Not stated</w:t>
            </w:r>
          </w:p>
        </w:tc>
        <w:tc>
          <w:tcPr>
            <w:tcW w:type="dxa" w:w="1296"/>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000000"/>
                <w:sz w:val="16"/>
              </w:rPr>
              <w:t>Not stated</w:t>
            </w:r>
          </w:p>
        </w:tc>
      </w:tr>
      <w:tr>
        <w:tc>
          <w:tcPr>
            <w:tcW w:type="dxa" w:w="1685"/>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left"/>
            </w:pPr>
            <w:r>
              <w:rPr>
                <w:rFonts w:ascii="Aptos" w:hAnsi="Aptos"/>
                <w:color w:val="000000"/>
                <w:sz w:val="16"/>
              </w:rPr>
              <w:t>Red Cross Connect</w:t>
            </w:r>
          </w:p>
        </w:tc>
        <w:tc>
          <w:tcPr>
            <w:tcW w:type="dxa" w:w="1022"/>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AA2D2D"/>
                <w:sz w:val="16"/>
              </w:rPr>
              <w:t>✕</w:t>
            </w:r>
          </w:p>
        </w:tc>
        <w:tc>
          <w:tcPr>
            <w:tcW w:type="dxa" w:w="1224"/>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000000"/>
                <w:sz w:val="16"/>
              </w:rPr>
              <w:t>Inventory tools</w:t>
            </w:r>
          </w:p>
        </w:tc>
        <w:tc>
          <w:tcPr>
            <w:tcW w:type="dxa" w:w="1195"/>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126E4D"/>
                <w:sz w:val="16"/>
              </w:rPr>
              <w:t>✓</w:t>
            </w:r>
          </w:p>
        </w:tc>
        <w:tc>
          <w:tcPr>
            <w:tcW w:type="dxa" w:w="1224"/>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000000"/>
                <w:sz w:val="16"/>
              </w:rPr>
              <w:t>Not stated</w:t>
            </w:r>
          </w:p>
        </w:tc>
        <w:tc>
          <w:tcPr>
            <w:tcW w:type="dxa" w:w="1195"/>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000000"/>
                <w:sz w:val="16"/>
              </w:rPr>
              <w:t>Not stated</w:t>
            </w:r>
          </w:p>
        </w:tc>
        <w:tc>
          <w:tcPr>
            <w:tcW w:type="dxa" w:w="950"/>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000000"/>
                <w:sz w:val="16"/>
              </w:rPr>
              <w:t>Not stated</w:t>
            </w:r>
          </w:p>
        </w:tc>
        <w:tc>
          <w:tcPr>
            <w:tcW w:type="dxa" w:w="1296"/>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000000"/>
                <w:sz w:val="16"/>
              </w:rPr>
              <w:t>Not stated</w:t>
            </w:r>
          </w:p>
        </w:tc>
      </w:tr>
      <w:tr>
        <w:tc>
          <w:tcPr>
            <w:tcW w:type="dxa" w:w="1685"/>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left"/>
            </w:pPr>
            <w:r>
              <w:rPr>
                <w:rFonts w:ascii="Aptos" w:hAnsi="Aptos"/>
                <w:color w:val="000000"/>
                <w:sz w:val="16"/>
              </w:rPr>
              <w:t>CBS Hospital Portal</w:t>
            </w:r>
          </w:p>
        </w:tc>
        <w:tc>
          <w:tcPr>
            <w:tcW w:type="dxa" w:w="1022"/>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AA2D2D"/>
                <w:sz w:val="16"/>
              </w:rPr>
              <w:t>✕</w:t>
            </w:r>
          </w:p>
        </w:tc>
        <w:tc>
          <w:tcPr>
            <w:tcW w:type="dxa" w:w="1224"/>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000000"/>
                <w:sz w:val="16"/>
              </w:rPr>
              <w:t>Inventory entry</w:t>
            </w:r>
          </w:p>
        </w:tc>
        <w:tc>
          <w:tcPr>
            <w:tcW w:type="dxa" w:w="1195"/>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000000"/>
                <w:sz w:val="16"/>
              </w:rPr>
              <w:t>Not stated</w:t>
            </w:r>
          </w:p>
        </w:tc>
        <w:tc>
          <w:tcPr>
            <w:tcW w:type="dxa" w:w="1224"/>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000000"/>
                <w:sz w:val="16"/>
              </w:rPr>
              <w:t>Not stated</w:t>
            </w:r>
          </w:p>
        </w:tc>
        <w:tc>
          <w:tcPr>
            <w:tcW w:type="dxa" w:w="1195"/>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000000"/>
                <w:sz w:val="16"/>
              </w:rPr>
              <w:t>Inventory report</w:t>
            </w:r>
          </w:p>
        </w:tc>
        <w:tc>
          <w:tcPr>
            <w:tcW w:type="dxa" w:w="950"/>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000000"/>
                <w:sz w:val="16"/>
              </w:rPr>
              <w:t>Not stated</w:t>
            </w:r>
          </w:p>
        </w:tc>
        <w:tc>
          <w:tcPr>
            <w:tcW w:type="dxa" w:w="1296"/>
            <w:vAlign w:val="center"/>
            <w:tcMar>
              <w:top w:w="82" w:type="dxa"/>
              <w:left w:w="82" w:type="dxa"/>
              <w:bottom w:w="82" w:type="dxa"/>
              <w:right w:w="82" w:type="dxa"/>
            </w:tcMar>
            <w:shd w:fill="F2F6FA"/>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color w:val="000000"/>
                <w:sz w:val="16"/>
              </w:rPr>
              <w:t>Not stated</w:t>
            </w:r>
          </w:p>
        </w:tc>
      </w:tr>
      <w:tr>
        <w:tc>
          <w:tcPr>
            <w:tcW w:type="dxa" w:w="1685"/>
            <w:vAlign w:val="center"/>
            <w:tcMar>
              <w:top w:w="82" w:type="dxa"/>
              <w:left w:w="82" w:type="dxa"/>
              <w:bottom w:w="82" w:type="dxa"/>
              <w:right w:w="82" w:type="dxa"/>
            </w:tcMar>
            <w:shd w:fill="E5F0F5"/>
            <w:tcBorders>
              <w:top w:val="single" w:sz="4" w:color="D9D9D9"/>
              <w:left w:val="single" w:sz="4" w:color="D9D9D9"/>
              <w:bottom w:val="single" w:sz="4" w:color="D9D9D9"/>
              <w:right w:val="single" w:sz="4" w:color="D9D9D9"/>
            </w:tcBorders>
          </w:tcPr>
          <w:p>
            <w:pPr>
              <w:spacing w:after="0" w:line="252" w:lineRule="auto"/>
              <w:jc w:val="left"/>
            </w:pPr>
            <w:r>
              <w:rPr>
                <w:rFonts w:ascii="Aptos" w:hAnsi="Aptos"/>
                <w:b/>
                <w:sz w:val="16"/>
              </w:rPr>
              <w:t>Our proposed system</w:t>
            </w:r>
          </w:p>
        </w:tc>
        <w:tc>
          <w:tcPr>
            <w:tcW w:type="dxa" w:w="1022"/>
            <w:vAlign w:val="center"/>
            <w:tcMar>
              <w:top w:w="82" w:type="dxa"/>
              <w:left w:w="82" w:type="dxa"/>
              <w:bottom w:w="82" w:type="dxa"/>
              <w:right w:w="82" w:type="dxa"/>
            </w:tcMar>
            <w:shd w:fill="E5F0F5"/>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b/>
                <w:color w:val="126E4D"/>
                <w:sz w:val="16"/>
              </w:rPr>
              <w:t>✓</w:t>
            </w:r>
          </w:p>
        </w:tc>
        <w:tc>
          <w:tcPr>
            <w:tcW w:type="dxa" w:w="1224"/>
            <w:vAlign w:val="center"/>
            <w:tcMar>
              <w:top w:w="82" w:type="dxa"/>
              <w:left w:w="82" w:type="dxa"/>
              <w:bottom w:w="82" w:type="dxa"/>
              <w:right w:w="82" w:type="dxa"/>
            </w:tcMar>
            <w:shd w:fill="E5F0F5"/>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b/>
                <w:color w:val="126E4D"/>
                <w:sz w:val="16"/>
              </w:rPr>
              <w:t>✓</w:t>
            </w:r>
          </w:p>
        </w:tc>
        <w:tc>
          <w:tcPr>
            <w:tcW w:type="dxa" w:w="1195"/>
            <w:vAlign w:val="center"/>
            <w:tcMar>
              <w:top w:w="82" w:type="dxa"/>
              <w:left w:w="82" w:type="dxa"/>
              <w:bottom w:w="82" w:type="dxa"/>
              <w:right w:w="82" w:type="dxa"/>
            </w:tcMar>
            <w:shd w:fill="E5F0F5"/>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b/>
                <w:color w:val="126E4D"/>
                <w:sz w:val="16"/>
              </w:rPr>
              <w:t>✓</w:t>
            </w:r>
          </w:p>
        </w:tc>
        <w:tc>
          <w:tcPr>
            <w:tcW w:type="dxa" w:w="1224"/>
            <w:vAlign w:val="center"/>
            <w:tcMar>
              <w:top w:w="82" w:type="dxa"/>
              <w:left w:w="82" w:type="dxa"/>
              <w:bottom w:w="82" w:type="dxa"/>
              <w:right w:w="82" w:type="dxa"/>
            </w:tcMar>
            <w:shd w:fill="E5F0F5"/>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b/>
                <w:color w:val="126E4D"/>
                <w:sz w:val="16"/>
              </w:rPr>
              <w:t>✓</w:t>
            </w:r>
          </w:p>
        </w:tc>
        <w:tc>
          <w:tcPr>
            <w:tcW w:type="dxa" w:w="1195"/>
            <w:vAlign w:val="center"/>
            <w:tcMar>
              <w:top w:w="82" w:type="dxa"/>
              <w:left w:w="82" w:type="dxa"/>
              <w:bottom w:w="82" w:type="dxa"/>
              <w:right w:w="82" w:type="dxa"/>
            </w:tcMar>
            <w:shd w:fill="E5F0F5"/>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b/>
                <w:color w:val="126E4D"/>
                <w:sz w:val="16"/>
              </w:rPr>
              <w:t>✓</w:t>
            </w:r>
          </w:p>
        </w:tc>
        <w:tc>
          <w:tcPr>
            <w:tcW w:type="dxa" w:w="950"/>
            <w:vAlign w:val="center"/>
            <w:tcMar>
              <w:top w:w="82" w:type="dxa"/>
              <w:left w:w="82" w:type="dxa"/>
              <w:bottom w:w="82" w:type="dxa"/>
              <w:right w:w="82" w:type="dxa"/>
            </w:tcMar>
            <w:shd w:fill="E5F0F5"/>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b/>
                <w:color w:val="126E4D"/>
                <w:sz w:val="16"/>
              </w:rPr>
              <w:t>✓</w:t>
            </w:r>
          </w:p>
        </w:tc>
        <w:tc>
          <w:tcPr>
            <w:tcW w:type="dxa" w:w="1296"/>
            <w:vAlign w:val="center"/>
            <w:tcMar>
              <w:top w:w="82" w:type="dxa"/>
              <w:left w:w="82" w:type="dxa"/>
              <w:bottom w:w="82" w:type="dxa"/>
              <w:right w:w="82" w:type="dxa"/>
            </w:tcMar>
            <w:shd w:fill="E5F0F5"/>
            <w:tcBorders>
              <w:top w:val="single" w:sz="4" w:color="D9D9D9"/>
              <w:left w:val="single" w:sz="4" w:color="D9D9D9"/>
              <w:bottom w:val="single" w:sz="4" w:color="D9D9D9"/>
              <w:right w:val="single" w:sz="4" w:color="D9D9D9"/>
            </w:tcBorders>
          </w:tcPr>
          <w:p>
            <w:pPr>
              <w:spacing w:after="0" w:line="252" w:lineRule="auto"/>
              <w:jc w:val="center"/>
            </w:pPr>
            <w:r>
              <w:rPr>
                <w:rFonts w:ascii="Aptos" w:hAnsi="Aptos"/>
                <w:b/>
                <w:color w:val="126E4D"/>
                <w:sz w:val="16"/>
              </w:rPr>
              <w:t>✓</w:t>
            </w:r>
          </w:p>
        </w:tc>
      </w:tr>
    </w:tbl>
    <w:p>
      <w:pPr>
        <w:spacing w:before="120" w:after="160"/>
      </w:pPr>
      <w:r>
        <w:t>✓ = included (planned for our system); ✕ = outside the cited service; short text = a related or separate capability; “Not stated” = not confirmed in the reviewed public description. CBS = Canadian Blood Services.</w:t>
      </w:r>
    </w:p>
    <w:p w14:paraId="544092CA" w14:textId="77777777" w:rsidR="009F4F0A" w:rsidRDefault="009F4F0A">
      <w:pPr>
        <w:spacing w:after="40"/>
      </w:pPr>
    </w:p>
    <w:p w14:paraId="2390C1F4" w14:textId="77777777" w:rsidR="009F4F0A" w:rsidRDefault="00000000">
      <w:pPr>
        <w:pStyle w:val="Heading1"/>
      </w:pPr>
      <w:r>
        <w:t>8 Research Gap and Project Positioning</w:t>
      </w:r>
    </w:p>
    <w:p w14:paraId="036D8310" w14:textId="77777777" w:rsidR="009F4F0A" w:rsidRDefault="00000000">
      <w:pPr>
        <w:ind w:firstLine="360"/>
      </w:pPr>
      <w:r>
        <w:t>The review does not support a claim that donor registration, inventory management, barcodes, or hospital requests are new. These functions are present in research proposals and operational systems. The defensible gap is narrower: the reviewed public descriptions do not establish the exact combination of an independently testable nearest-source and complete-request reservation workflow with a demand-forecasting module for the Syrian publicly coordinated context.</w:t>
      </w:r>
    </w:p>
    <w:p w14:paraId="1B49B2FD" w14:textId="77777777" w:rsidR="009F4F0A" w:rsidRDefault="00000000">
      <w:pPr>
        <w:ind w:firstLine="360"/>
      </w:pPr>
      <w:r>
        <w:t>The proposed prototype combines staff-managed donor and component records, hospital blood requests, expiry-aware stock search, nearest-bank selection for the exact type and full quantity, complete-request reservation, donor-to-issue traceability, and a demand-forecast view. Barcode scanning and transfusion-outcome recording remain outside the current scope.</w:t>
      </w:r>
    </w:p>
    <w:p w14:paraId="3951A698" w14:textId="77777777" w:rsidR="009F4F0A" w:rsidRDefault="00000000">
      <w:pPr>
        <w:ind w:firstLine="360"/>
      </w:pPr>
      <w:r>
        <w:t>The project is positioned as an academic prototype, not as a replacement for e-RaktKosh, BloodNet, or a future Syrian national platform. This limitation is a strength for Graduation Project 1 because it makes the system testable without requiring government access or sensitive patient data.</w:t>
      </w:r>
    </w:p>
    <w:p w14:paraId="0C70DA15" w14:textId="77777777" w:rsidR="009F4F0A" w:rsidRDefault="00000000">
      <w:pPr>
        <w:pStyle w:val="Heading1"/>
      </w:pPr>
      <w:r>
        <w:t>9 Limitations of this Review</w:t>
      </w:r>
    </w:p>
    <w:p w14:paraId="606B0855" w14:textId="77777777" w:rsidR="009F4F0A" w:rsidRDefault="00000000">
      <w:pPr>
        <w:ind w:firstLine="360"/>
      </w:pPr>
      <w:r>
        <w:t>This is a targeted narrative review rather than a systematic review. It does not report a formal PRISMA flow, database export, duplicate-removal count, or risk-of-bias score. The practical systems were evaluated using public documentation, which may not reveal all internal algorithms or security controls. In addition, the IJPREMS paper is treated cautiously because its venue and validation detail are weaker than the indexed journal articles in the review. These limitations should be acknowledged if the study is presented to an academic panel.</w:t>
      </w:r>
    </w:p>
    <w:p w14:paraId="052B8145" w14:textId="77777777" w:rsidR="009F4F0A" w:rsidRDefault="00000000">
      <w:pPr>
        <w:pStyle w:val="Heading1"/>
        <w:pageBreakBefore/>
      </w:pPr>
      <w:r>
        <w:t>10 Conclusion</w:t>
      </w:r>
    </w:p>
    <w:p w14:paraId="710AE61E" w14:textId="77777777" w:rsidR="009F4F0A" w:rsidRDefault="00000000">
      <w:pPr>
        <w:ind w:firstLine="360"/>
      </w:pPr>
      <w:r>
        <w:t>The reviewed evidence shows that blood-bank management combines software workflow, forecasting, inventory control, and operations research. Ben Elmir et al. and Li et al. support forecasting as a possible decision-support module, while Kaya and Ozkok and Arani et al. show how allocation can be modeled through explicit constraints and optimization. The IJPREMS paper provides a preliminary operational workflow, and the five practical systems demonstrate deployed blood-service workflows.</w:t>
      </w:r>
    </w:p>
    <w:p w14:paraId="4A2AF3A0" w14:textId="77777777" w:rsidR="009F4F0A" w:rsidRDefault="00000000">
      <w:pPr>
        <w:ind w:firstLine="360"/>
      </w:pPr>
      <w:r>
        <w:t>For Graduation Project 1, the most realistic contribution is an independent prototype that models a publicly coordinated blood-bank network using simulated or de-identified data. The system will combine essential blood-bank operations with nearest-source exact-match selection, complete-request reservation, and demand forecasting. The proposed research question is: Can a request-specific nearest-source selection process and blood-demand forecast improve fulfillment planning compared with simple availability searching?</w:t>
      </w:r>
    </w:p>
    <w:p w14:paraId="6CD11C29" w14:textId="77777777" w:rsidR="009F4F0A" w:rsidRDefault="00000000">
      <w:pPr>
        <w:pStyle w:val="Heading1"/>
        <w:pageBreakBefore w:val="0"/>
      </w:pPr>
      <w:r>
        <w:t>References</w:t>
      </w:r>
    </w:p>
    <w:p>
      <w:pPr>
        <w:spacing w:before="0" w:after="60" w:line="240" w:lineRule="auto"/>
      </w:pPr>
      <w:r>
        <w:rPr>
          <w:sz w:val="20"/>
        </w:rPr>
        <w:t>American Red Cross. (n.d.). Red Cross resource for hospital partners. https://www.redcrossblood.org/biomedical-services/hospital-partner-resource-guide.html</w:t>
      </w:r>
    </w:p>
    <w:p w14:paraId="2D324556" w14:textId="77777777" w:rsidR="009F4F0A" w:rsidRDefault="00000000">
      <w:pPr>
        <w:spacing w:after="60" w:line="240" w:lineRule="auto" w:before="0"/>
        <w:ind w:left="504" w:hanging="504"/>
      </w:pPr>
      <w:r>
        <w:rPr>
          <w:sz w:val="20"/>
        </w:rPr>
        <w:t>Arani, M., Chan, Y., Liu, X., &amp; Momenitabar, M. (2021). A lateral resupply blood supply chain network design under uncertainties. Applied Mathematical Modelling, 93, 165–187. https://doi.org/10.1016/j.apm.2020.12.010</w:t>
      </w:r>
    </w:p>
    <w:p w14:paraId="7C9AB20E" w14:textId="77777777" w:rsidR="009F4F0A" w:rsidRDefault="00000000">
      <w:pPr>
        <w:spacing w:after="60" w:line="240" w:lineRule="auto" w:before="0"/>
        <w:ind w:left="504" w:hanging="504"/>
      </w:pPr>
      <w:r>
        <w:rPr>
          <w:sz w:val="20"/>
        </w:rPr>
        <w:t>Ben Elmir, W., Hemmak, A., &amp; Senouci, B. (2023). Smart platform for data blood bank management: Forecasting demand in blood supply chain using machine learning. Information, 14(1), 31. https://doi.org/10.3390/info14010031</w:t>
      </w:r>
    </w:p>
    <w:p>
      <w:pPr>
        <w:spacing w:before="0" w:after="60" w:line="240" w:lineRule="auto"/>
      </w:pPr>
      <w:r>
        <w:rPr>
          <w:sz w:val="20"/>
        </w:rPr>
        <w:t>Canadian Blood Services. (n.d.). Blood component and product disposition - Hospital Portal. https://www.blood.ca/en/hospital-services/inventory-ordering/blood-component-and-product-disposition-hospital-portal</w:t>
      </w:r>
    </w:p>
    <w:p w14:paraId="55ADBDAB" w14:textId="77777777" w:rsidR="009F4F0A" w:rsidRDefault="00000000">
      <w:pPr>
        <w:spacing w:after="60" w:line="240" w:lineRule="auto" w:before="0"/>
        <w:ind w:left="504" w:hanging="504"/>
      </w:pPr>
      <w:r>
        <w:rPr>
          <w:sz w:val="20"/>
        </w:rPr>
        <w:t>e-RaktKosh. (n.d.). About e-RaktKosh: A centralized blood bank management system. Ministry of Health and Family Welfare, Government of India. https://eraktkosh.mohfw.gov.in/BLDAHIMS/bloodbank/about.cnt</w:t>
      </w:r>
    </w:p>
    <w:p w14:paraId="05522942" w14:textId="77777777" w:rsidR="009F4F0A" w:rsidRDefault="00000000">
      <w:pPr>
        <w:spacing w:after="60" w:line="240" w:lineRule="auto" w:before="0"/>
        <w:ind w:left="504" w:hanging="504"/>
      </w:pPr>
      <w:r>
        <w:rPr>
          <w:sz w:val="20"/>
        </w:rPr>
        <w:t>International Council for Commonality in Blood Banking Automation. (2025). ISBT 128 for blood components: An introduction. https://iccbba.org/wp-content/uploads/2025/08/2965e4_cfed2254faac41759cb3a25145ac15e7.pdf</w:t>
      </w:r>
    </w:p>
    <w:p w14:paraId="3C057E2D" w14:textId="77777777" w:rsidR="009F4F0A" w:rsidRDefault="00000000">
      <w:pPr>
        <w:spacing w:after="60" w:line="240" w:lineRule="auto" w:before="0"/>
        <w:ind w:left="504" w:hanging="504"/>
      </w:pPr>
      <w:r>
        <w:rPr>
          <w:sz w:val="20"/>
        </w:rPr>
        <w:t>Kaya, O., &amp; Ozkok, D. (2020). A blood bank network design problem with integrated facility location, inventory and routing decisions. Networks and Spatial Economics, 20, 757–783. https://doi.org/10.1007/s11067-020-09500-x</w:t>
      </w:r>
    </w:p>
    <w:p w14:paraId="39C65CD7" w14:textId="77777777" w:rsidR="009F4F0A" w:rsidRDefault="00000000">
      <w:pPr>
        <w:spacing w:after="60" w:line="240" w:lineRule="auto" w:before="0"/>
        <w:ind w:left="504" w:hanging="504"/>
      </w:pPr>
      <w:r>
        <w:rPr>
          <w:sz w:val="20"/>
        </w:rPr>
        <w:t>Li, N., Pham, T., Cheng, C., McElfresh, D. C., Metcalf, R. A., Russell, W. A., Birch, R., Yurkovich, J. T., Montemayor-Garcia, C., Lane, W. J., Tobian, A. A. R., Roubinian, N., Seheult, J., &amp; Goel, R. (2023). Blood demand forecasting and supply management: An analytical assessment of key studies utilizing novel computational techniques. Transfusion Medicine Reviews, 37(4), 150768. https://doi.org/10.1016/j.tmrv.2023.150768</w:t>
      </w:r>
    </w:p>
    <w:p w14:paraId="09E46B71" w14:textId="77777777" w:rsidR="009F4F0A" w:rsidRDefault="00000000">
      <w:pPr>
        <w:spacing w:after="60" w:line="240" w:lineRule="auto" w:before="0"/>
        <w:ind w:left="504" w:hanging="504"/>
      </w:pPr>
      <w:r>
        <w:rPr>
          <w:sz w:val="20"/>
        </w:rPr>
        <w:t>National Blood Authority. (n.d.). Access and ordering: BloodNet. Australian Government. https://www.blood.gov.au/blood-products/access-and-ordering</w:t>
      </w:r>
    </w:p>
    <w:p>
      <w:pPr>
        <w:spacing w:before="0" w:after="60" w:line="240" w:lineRule="auto"/>
      </w:pPr>
      <w:r>
        <w:rPr>
          <w:sz w:val="20"/>
        </w:rPr>
        <w:t>NHS Blood and Transplant. (2025). OBOS: Online Blood Ordering System. https://hospital.blood.co.uk/customer-service/obos/</w:t>
      </w:r>
    </w:p>
    <w:p w14:paraId="1AFA7E88" w14:textId="77777777" w:rsidR="009F4F0A" w:rsidRDefault="00000000">
      <w:pPr>
        <w:spacing w:after="60" w:line="240" w:lineRule="auto" w:before="0"/>
        <w:ind w:left="504" w:hanging="504"/>
      </w:pPr>
      <w:r>
        <w:rPr>
          <w:sz w:val="20"/>
        </w:rPr>
        <w:t>Rajawat, A. S., Gupta, H. K., Rashid, A., Hussain, S., &amp; Pagar, N. (2025). Blood bank management system. International Journal of Progressive Research in Engineering Management and Science, 5(11), 972–980. https://www.ijprems.com/uploadedfiles/paper/issue_11_november_2025/44808/final/fin_ijprems1763535970.pdf</w:t>
      </w:r>
    </w:p>
    <w:p w14:paraId="16D4EEE4" w14:textId="77777777" w:rsidR="009F4F0A" w:rsidRDefault="00000000">
      <w:pPr>
        <w:spacing w:after="60" w:line="240" w:lineRule="auto" w:before="0"/>
        <w:ind w:left="504" w:hanging="504"/>
      </w:pPr>
      <w:r>
        <w:rPr>
          <w:sz w:val="20"/>
        </w:rPr>
        <w:t>Syrian Science Council. (2026, January 10). خارطة طريق وطنية لتطوير بنوك الدم السورية. https://syriansciencecouncil.org/2026/01/10/خارطة-طريق-وطنية-لتطوير-بنوك-الدم-السو/</w:t>
      </w:r>
    </w:p>
    <w:sectPr w:rsidR="009F4F0A" w:rsidSect="00034616">
      <w:footerReference w:type="default" r:id="rId8"/>
      <w:pgSz w:w="12240" w:h="15840"/>
      <w:pgMar w:top="1181" w:right="1224" w:bottom="1037"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C7D9D8" w14:textId="77777777" w:rsidR="004424F2" w:rsidRDefault="004424F2">
      <w:pPr>
        <w:spacing w:after="0" w:line="240" w:lineRule="auto"/>
      </w:pPr>
      <w:r>
        <w:separator/>
      </w:r>
    </w:p>
  </w:endnote>
  <w:endnote w:type="continuationSeparator" w:id="0">
    <w:p w14:paraId="49DA2B84" w14:textId="77777777" w:rsidR="004424F2" w:rsidRDefault="00442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A22BCB" w14:textId="77777777" w:rsidR="009F4F0A" w:rsidRDefault="00000000">
    <w:pPr>
      <w:pStyle w:val="Footer"/>
      <w:jc w:val="center"/>
    </w:pPr>
    <w:r>
      <w:rPr>
        <w:color w:val="646464"/>
        <w:sz w:val="16"/>
      </w:rPr>
      <w:t xml:space="preserve">Blood Bank Management </w:t>
    </w:r>
    <w:proofErr w:type="gramStart"/>
    <w:r>
      <w:rPr>
        <w:color w:val="646464"/>
        <w:sz w:val="16"/>
      </w:rPr>
      <w:t>System  |</w:t>
    </w:r>
    <w:proofErr w:type="gramEnd"/>
    <w:r>
      <w:rPr>
        <w:color w:val="646464"/>
        <w:sz w:val="16"/>
      </w:rPr>
      <w:t xml:space="preserve">  Related Work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F4F3E0" w14:textId="77777777" w:rsidR="004424F2" w:rsidRDefault="004424F2">
      <w:pPr>
        <w:spacing w:after="0" w:line="240" w:lineRule="auto"/>
      </w:pPr>
      <w:r>
        <w:separator/>
      </w:r>
    </w:p>
  </w:footnote>
  <w:footnote w:type="continuationSeparator" w:id="0">
    <w:p w14:paraId="73F919ED" w14:textId="77777777" w:rsidR="004424F2" w:rsidRDefault="004424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5628528">
    <w:abstractNumId w:val="8"/>
  </w:num>
  <w:num w:numId="2" w16cid:durableId="1880622555">
    <w:abstractNumId w:val="6"/>
  </w:num>
  <w:num w:numId="3" w16cid:durableId="1454865613">
    <w:abstractNumId w:val="5"/>
  </w:num>
  <w:num w:numId="4" w16cid:durableId="43523718">
    <w:abstractNumId w:val="4"/>
  </w:num>
  <w:num w:numId="5" w16cid:durableId="1472364229">
    <w:abstractNumId w:val="7"/>
  </w:num>
  <w:num w:numId="6" w16cid:durableId="1361973119">
    <w:abstractNumId w:val="3"/>
  </w:num>
  <w:num w:numId="7" w16cid:durableId="1280990058">
    <w:abstractNumId w:val="2"/>
  </w:num>
  <w:num w:numId="8" w16cid:durableId="13000956">
    <w:abstractNumId w:val="1"/>
  </w:num>
  <w:num w:numId="9" w16cid:durableId="2217898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3B7B"/>
    <w:rsid w:val="00326F90"/>
    <w:rsid w:val="004424F2"/>
    <w:rsid w:val="004625A1"/>
    <w:rsid w:val="009F4F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106A92"/>
  <w14:defaultImageDpi w14:val="300"/>
  <w15:docId w15:val="{EA4DFAB4-517B-CB45-9830-723389881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3137</Words>
  <Characters>17881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Abdalkader Nash</cp:lastModifiedBy>
  <cp:revision>2</cp:revision>
  <dcterms:created xsi:type="dcterms:W3CDTF">2026-10-17T21:18:00Z</dcterms:created>
  <dcterms:modified xsi:type="dcterms:W3CDTF">2026-10-17T21:18:00Z</dcterms:modified>
  <cp:category/>
</cp:coreProperties>
</file>