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BloodBankPlatform Test Documentation</w:t>
      </w:r>
    </w:p>
    <w:p>
      <w:r>
        <w:t>Test strategy, requirement linked cases, execution procedure, and current evidence</w:t>
      </w:r>
    </w:p>
    <w:p>
      <w:r>
        <w:t>17 October 2026  |  Graduation 1 scope  |  Repository revision fc0b584 with uncommitted frontend changes</w:t>
      </w:r>
    </w:p>
    <w:p>
      <w:r>
        <w:t>This report consolidates the project test plan and records what the repository currently verifies. It gives the team a repeatable way to run, review, and report tests against FR-01 through FR-20. The current Laravel and frontend suites pass, but their results cover only part of the planned requirement catalogue. System and acceptance cases remain to be executed and signed off.</w:t>
      </w:r>
    </w:p>
    <w:p>
      <w:pPr>
        <w:pStyle w:val="Heading1"/>
        <w:keepNext/>
      </w:pPr>
      <w:r>
        <w:t>1 Document basis and evidence status</w:t>
      </w:r>
    </w:p>
    <w:tbl>
      <w:tblPr>
        <w:tblW w:type="auto" w:w="0"/>
        <w:tblLayout w:type="fixed"/>
        <w:tblLook w:firstColumn="1" w:firstRow="1" w:lastColumn="0" w:lastRow="0" w:noHBand="0" w:noVBand="1" w:val="04A0"/>
      </w:tblPr>
      <w:tblGrid>
        <w:gridCol w:w="3024"/>
        <w:gridCol w:w="6912"/>
      </w:tblGrid>
      <w:tr>
        <w:trPr>
          <w:tblHeader w:val="true"/>
          <w:cantSplit/>
        </w:trPr>
        <w:tc>
          <w:tcPr>
            <w:tcW w:type="dxa" w:w="3024"/>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Source</w:t>
            </w:r>
          </w:p>
        </w:tc>
        <w:tc>
          <w:tcPr>
            <w:tcW w:type="dxa" w:w="6912"/>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Use in this report</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docs/TEST_PLAN_AND_CASES.md</w:t>
            </w:r>
          </w:p>
        </w:tc>
        <w:tc>
          <w:tcPr>
            <w:tcW w:type="dxa" w:w="6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Primary test levels, 80 requirement linked cases, seven cross cutting checks, execution rules, and release gate.</w:t>
            </w:r>
          </w:p>
        </w:tc>
      </w:tr>
      <w:tr>
        <w:trPr>
          <w:cantSplit/>
        </w:trPr>
        <w:tc>
          <w:tcPr>
            <w:tcW w:type="dxa" w:w="302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docs/BloodBank_Requirements.docx</w:t>
            </w:r>
          </w:p>
        </w:tc>
        <w:tc>
          <w:tcPr>
            <w:tcW w:type="dxa" w:w="691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FR-01 through FR-20 and acceptance criteria are the requirements baseline named by the plan; revised 15 October 2026.</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docs/BACKEND_API_REFERENCE.md and docs/openapi.yaml</w:t>
            </w:r>
          </w:p>
        </w:tc>
        <w:tc>
          <w:tcPr>
            <w:tcW w:type="dxa" w:w="6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API contract and error shapes used by the implemented route tests.</w:t>
            </w:r>
          </w:p>
        </w:tc>
      </w:tr>
      <w:tr>
        <w:trPr>
          <w:cantSplit/>
        </w:trPr>
        <w:tc>
          <w:tcPr>
            <w:tcW w:type="dxa" w:w="302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Backend and frontend test files</w:t>
            </w:r>
          </w:p>
        </w:tc>
        <w:tc>
          <w:tcPr>
            <w:tcW w:type="dxa" w:w="691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Current automated test inventory, inspected on 17 October 2026.</w:t>
            </w:r>
          </w:p>
        </w:tc>
      </w:tr>
    </w:tbl>
    <w:p>
      <w:pPr>
        <w:spacing w:after="40"/>
      </w:pPr>
    </w:p>
    <w:p>
      <w:r>
        <w:t>Evidence terms are used strictly: Planned means a case is defined; Blocked means its dependent screen or endpoint is absent; Passed means a specific execution is recorded. A green suite does not mark every linked FR or acceptance criterion as passed.</w:t>
      </w:r>
    </w:p>
    <w:p>
      <w:pPr>
        <w:pStyle w:val="Heading1"/>
        <w:keepNext/>
      </w:pPr>
      <w:r>
        <w:t>2 Current result at a glance</w:t>
      </w:r>
    </w:p>
    <w:tbl>
      <w:tblPr>
        <w:tblW w:type="auto" w:w="0"/>
        <w:tblLayout w:type="fixed"/>
        <w:tblLook w:firstColumn="1" w:firstRow="1" w:lastColumn="0" w:lastRow="0" w:noHBand="0" w:noVBand="1" w:val="04A0"/>
      </w:tblPr>
      <w:tblGrid>
        <w:gridCol w:w="2232"/>
        <w:gridCol w:w="2880"/>
        <w:gridCol w:w="4824"/>
      </w:tblGrid>
      <w:tr>
        <w:trPr>
          <w:tblHeader w:val="true"/>
          <w:cantSplit/>
        </w:trPr>
        <w:tc>
          <w:tcPr>
            <w:tcW w:type="dxa" w:w="2232"/>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Check</w:t>
            </w:r>
          </w:p>
        </w:tc>
        <w:tc>
          <w:tcPr>
            <w:tcW w:type="dxa" w:w="288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Observed result</w:t>
            </w:r>
          </w:p>
        </w:tc>
        <w:tc>
          <w:tcPr>
            <w:tcW w:type="dxa" w:w="4824"/>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Limit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Laravel PHPUnit</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29 tests passed; 189 assertions</w:t>
            </w:r>
          </w:p>
        </w:tc>
        <w:tc>
          <w:tcPr>
            <w:tcW w:type="dxa" w:w="48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Includes two framework scaffold examples. SQLite in memory; no concurrent MySQL exercise.</w:t>
            </w:r>
          </w:p>
        </w:tc>
      </w:tr>
      <w:tr>
        <w:trPr>
          <w:cantSplit/>
        </w:trPr>
        <w:tc>
          <w:tcPr>
            <w:tcW w:type="dxa" w:w="223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Frontend Node tests</w:t>
            </w:r>
          </w:p>
        </w:tc>
        <w:tc>
          <w:tcPr>
            <w:tcW w:type="dxa" w:w="288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6 tests passed</w:t>
            </w:r>
          </w:p>
        </w:tc>
        <w:tc>
          <w:tcPr>
            <w:tcW w:type="dxa" w:w="482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Pure access rules and HTTP client transport; no rendered React component test.</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Frontend production build</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Vite build passed</w:t>
            </w:r>
          </w:p>
        </w:tc>
        <w:tc>
          <w:tcPr>
            <w:tcW w:type="dxa" w:w="48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Compilation check, not behavioral acceptance.</w:t>
            </w:r>
          </w:p>
        </w:tc>
      </w:tr>
      <w:tr>
        <w:trPr>
          <w:cantSplit/>
        </w:trPr>
        <w:tc>
          <w:tcPr>
            <w:tcW w:type="dxa" w:w="223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System and acceptance suites</w:t>
            </w:r>
          </w:p>
        </w:tc>
        <w:tc>
          <w:tcPr>
            <w:tcW w:type="dxa" w:w="288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No automated Playwright suite or signed acceptance record in repository</w:t>
            </w:r>
          </w:p>
        </w:tc>
        <w:tc>
          <w:tcPr>
            <w:tcW w:type="dxa" w:w="482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Do not infer end to end or reviewer approval.</w:t>
            </w:r>
          </w:p>
        </w:tc>
      </w:tr>
    </w:tbl>
    <w:p>
      <w:pPr>
        <w:spacing w:after="40"/>
      </w:pPr>
    </w:p>
    <w:p>
      <w:r>
        <w:t>Run date: 17 October 2026. The commands and environment are recorded in Section 8. Results reflect the working tree at run time; revision fc0b584 alone does not identify the uncommitted frontend files.</w:t>
      </w:r>
    </w:p>
    <w:p>
      <w:pPr>
        <w:pStyle w:val="Heading1"/>
        <w:keepNext/>
      </w:pPr>
      <w:r>
        <w:t>3 Test levels and evidence</w:t>
      </w:r>
    </w:p>
    <w:tbl>
      <w:tblPr>
        <w:tblW w:type="auto" w:w="0"/>
        <w:tblLayout w:type="fixed"/>
        <w:tblLook w:firstColumn="1" w:firstRow="1" w:lastColumn="0" w:lastRow="0" w:noHBand="0" w:noVBand="1" w:val="04A0"/>
      </w:tblPr>
      <w:tblGrid>
        <w:gridCol w:w="1440"/>
        <w:gridCol w:w="2880"/>
        <w:gridCol w:w="5616"/>
      </w:tblGrid>
      <w:tr>
        <w:trPr>
          <w:tblHeader w:val="true"/>
          <w:cantSplit/>
        </w:trPr>
        <w:tc>
          <w:tcPr>
            <w:tcW w:type="dxa" w:w="144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Level</w:t>
            </w:r>
          </w:p>
        </w:tc>
        <w:tc>
          <w:tcPr>
            <w:tcW w:type="dxa" w:w="288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Purpose</w:t>
            </w:r>
          </w:p>
        </w:tc>
        <w:tc>
          <w:tcPr>
            <w:tcW w:type="dxa" w:w="561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Method and expected evidence</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Component CT</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Isolate a rule or rendered component.</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PHPUnit unit tests for pure PHP rules; Node tests for pure JavaScript; proposed Vitest and React Testing Library for rendered UI. Record assertions and runner output.</w:t>
            </w:r>
          </w:p>
        </w:tc>
      </w:tr>
      <w:tr>
        <w:trPr>
          <w:cantSplit/>
        </w:trPr>
        <w:tc>
          <w:tcPr>
            <w:tcW w:type="dxa" w:w="144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Integration IT</w:t>
            </w:r>
          </w:p>
        </w:tc>
        <w:tc>
          <w:tcPr>
            <w:tcW w:type="dxa" w:w="288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Exercise routes, permissions, validation, persistence, and module boundaries.</w:t>
            </w:r>
          </w:p>
        </w:tc>
        <w:tc>
          <w:tcPr>
            <w:tcW w:type="dxa" w:w="561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Laravel feature tests with RefreshDatabase, model factories, SQLite in memory, and mail/queue fakes when relevant. Assert response and database state.</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System ST</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Run React, Laravel, and a disposable database as one workflow.</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Proposed Playwright tests with synthetic seed data, real HTTP, trace and failure screenshots, plus API or database verification.</w:t>
            </w:r>
          </w:p>
        </w:tc>
      </w:tr>
      <w:tr>
        <w:trPr>
          <w:cantSplit/>
        </w:trPr>
        <w:tc>
          <w:tcPr>
            <w:tcW w:type="dxa" w:w="144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Acceptance AT</w:t>
            </w:r>
          </w:p>
        </w:tc>
        <w:tc>
          <w:tcPr>
            <w:tcW w:type="dxa" w:w="288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Demonstrate every approved AC to a domain reviewer.</w:t>
            </w:r>
          </w:p>
        </w:tc>
        <w:tc>
          <w:tcPr>
            <w:tcW w:type="dxa" w:w="561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Reset demo data, scripted role walkthrough, observed result, evidence, defect, and reviewer sign off.</w:t>
            </w:r>
          </w:p>
        </w:tc>
      </w:tr>
    </w:tbl>
    <w:p>
      <w:pPr>
        <w:spacing w:after="40"/>
      </w:pPr>
    </w:p>
    <w:p>
      <w:pPr>
        <w:pStyle w:val="Heading1"/>
        <w:keepNext/>
      </w:pPr>
      <w:r>
        <w:t>4 How tests are designed and run</w:t>
      </w:r>
    </w:p>
    <w:p>
      <w:pPr>
        <w:pStyle w:val="Heading2"/>
        <w:keepNext/>
      </w:pPr>
      <w:r>
        <w:t>4.1 Component tests</w:t>
      </w:r>
    </w:p>
    <w:p>
      <w:r>
        <w:t>Start from a requirement and test valid, invalid, boundary, and missing input cases. Keep the expected result independent of the implementation. Place pure PHP rules in the owning module Unit directory. The current frontend command runs Node tests in src/lib; it does not mount React. Add Vitest, React Testing Library, user event, and jsdom before claiming rendered form or navigation coverage.</w:t>
      </w:r>
    </w:p>
    <w:p>
      <w:pPr>
        <w:pStyle w:val="Heading2"/>
        <w:keepNext/>
      </w:pPr>
      <w:r>
        <w:t>4.2 Laravel integration tests</w:t>
      </w:r>
    </w:p>
    <w:p>
      <w:r>
        <w:t>Use the smallest fixture with explicit actor role and organization. Call the real JSON route and assert status, documented error reason, response fields, persisted rows, and audit events. Repeat critical paths with unauthenticated, wrong role, wrong organization, and inactive actors. For state changes, cover valid, invalid, and repeated operations and assert that rejected writes leave related records unchanged. SQLite in memory is suitable for most feature tests; reservation and issue locking need a separate concurrent run on the production database engine.</w:t>
      </w:r>
    </w:p>
    <w:p>
      <w:pPr>
        <w:pStyle w:val="Heading2"/>
        <w:keepNext/>
      </w:pPr>
      <w:r>
        <w:t>4.3 React and system tests</w:t>
      </w:r>
    </w:p>
    <w:p>
      <w:r>
        <w:t>For forms and role views, rendered component tests should cover accessible labels, loading, empty, error, and navigation states. For system tests, seed at least two banks, two hospitals, each staff role, and known valid and invalid clinical records in a disposable environment. Start Laravel, the queue worker, frontend, and a test email sink. Playwright should exercise the browser workflow, denial path, and failure or retry path, then verify the resulting API or database record. Run Chromium and another supported engine, check keyboard and focus behavior, and capture a trace and screenshot on failure. A case stays Blocked while its screen or endpoint is missing.</w:t>
      </w:r>
    </w:p>
    <w:p>
      <w:pPr>
        <w:pStyle w:val="Heading2"/>
        <w:keepNext/>
      </w:pPr>
      <w:r>
        <w:t>4.4 Acceptance tests</w:t>
      </w:r>
    </w:p>
    <w:p>
      <w:pPr>
        <w:keepLines/>
      </w:pPr>
      <w:r>
        <w:t>Expand each AT case into checklist lines for every linked AC. Use deterministic identifiers, quantities, states, and distances; obtain domain review for clinical policies and forecast assumptions. Demonstrate normal and refusal paths with persisted records and audit history. Record build, data set, date, result, defect, reviewer, and sign off. Requirement text alone is not execution evidence.</w:t>
      </w:r>
    </w:p>
    <w:p>
      <w:pPr>
        <w:pStyle w:val="Heading1"/>
        <w:keepNext/>
      </w:pPr>
      <w:r>
        <w:t>5 Requirement linked case catalogue</w:t>
      </w:r>
    </w:p>
    <w:p>
      <w:pPr>
        <w:keepNext/>
      </w:pPr>
      <w:r>
        <w:t>The IDs and case intent below follow the test plan. All 80 cases are planned definitions; partial automated evidence is mapped in Section 7. No entire FR is marked accepted from the current suites.</w:t>
      </w:r>
    </w:p>
    <w:p>
      <w:pPr>
        <w:pStyle w:val="Heading2"/>
        <w:keepNext/>
      </w:pPr>
      <w:r>
        <w:t>FR-01   AC-01.1–3</w:t>
      </w:r>
    </w:p>
    <w:p>
      <w:r>
        <w:rPr>
          <w:b/>
        </w:rPr>
        <w:t xml:space="preserve">TC-01-CT  Component. </w:t>
      </w:r>
      <w:r>
        <w:t>organization ownership and active-state rules.</w:t>
      </w:r>
    </w:p>
    <w:p>
      <w:r>
        <w:rPr>
          <w:b/>
        </w:rPr>
        <w:t xml:space="preserve">TC-01-IT  Integration. </w:t>
      </w:r>
      <w:r>
        <w:t>admin CRUD; wrong organization denied; record bank/hospital FKs persist.</w:t>
      </w:r>
    </w:p>
    <w:p>
      <w:r>
        <w:rPr>
          <w:b/>
        </w:rPr>
        <w:t xml:space="preserve">TC-01-ST  System. </w:t>
      </w:r>
      <w:r>
        <w:t>admin manages two banks/two hospitals and staff see allowed records.</w:t>
      </w:r>
    </w:p>
    <w:p>
      <w:r>
        <w:rPr>
          <w:b/>
        </w:rPr>
        <w:t xml:space="preserve">TC-01-AT  Acceptance. </w:t>
      </w:r>
      <w:r>
        <w:t>reviewer verifies organization list, identity, ownership and deactivation.</w:t>
      </w:r>
    </w:p>
    <w:p>
      <w:pPr>
        <w:pStyle w:val="Heading2"/>
        <w:keepNext/>
      </w:pPr>
      <w:r>
        <w:t>FR-02   AC-02.1–4</w:t>
      </w:r>
    </w:p>
    <w:p>
      <w:r>
        <w:rPr>
          <w:b/>
        </w:rPr>
        <w:t xml:space="preserve">TC-02-CT  Component. </w:t>
      </w:r>
      <w:r>
        <w:t>role-to-navigation and permission mapping, unknown role fails closed.</w:t>
      </w:r>
    </w:p>
    <w:p>
      <w:r>
        <w:rPr>
          <w:b/>
        </w:rPr>
        <w:t xml:space="preserve">TC-02-IT  Integration. </w:t>
      </w:r>
      <w:r>
        <w:t>login/logout, hashed password, inactive user, expired token, route policy and scope denial.</w:t>
      </w:r>
    </w:p>
    <w:p>
      <w:r>
        <w:rPr>
          <w:b/>
        </w:rPr>
        <w:t xml:space="preserve">TC-02-ST  System. </w:t>
      </w:r>
      <w:r>
        <w:t>log in as each role, confirm allowed view and server rejection of forbidden URL/action.</w:t>
      </w:r>
    </w:p>
    <w:p>
      <w:r>
        <w:rPr>
          <w:b/>
        </w:rPr>
        <w:t xml:space="preserve">TC-02-AT  Acceptance. </w:t>
      </w:r>
      <w:r>
        <w:t>reviewer checks access matrix and session behavior.</w:t>
      </w:r>
    </w:p>
    <w:p>
      <w:pPr>
        <w:pStyle w:val="Heading2"/>
        <w:keepNext/>
      </w:pPr>
      <w:r>
        <w:t>FR-03   AC-03.1–3</w:t>
      </w:r>
    </w:p>
    <w:p>
      <w:r>
        <w:rPr>
          <w:b/>
        </w:rPr>
        <w:t xml:space="preserve">TC-03-CT  Component. </w:t>
      </w:r>
      <w:r>
        <w:t>donor identity/email validation and unknown group representation.</w:t>
      </w:r>
    </w:p>
    <w:p>
      <w:r>
        <w:rPr>
          <w:b/>
        </w:rPr>
        <w:t xml:space="preserve">TC-03-IT  Integration. </w:t>
      </w:r>
      <w:r>
        <w:t>create/update/history; duplicate ID rejection; cross-bank read denied.</w:t>
      </w:r>
    </w:p>
    <w:p>
      <w:r>
        <w:rPr>
          <w:b/>
        </w:rPr>
        <w:t xml:space="preserve">TC-03-ST  System. </w:t>
      </w:r>
      <w:r>
        <w:t>register donor and find all linked donation attempts in history.</w:t>
      </w:r>
    </w:p>
    <w:p>
      <w:r>
        <w:rPr>
          <w:b/>
        </w:rPr>
        <w:t xml:space="preserve">TC-03-AT  Acceptance. </w:t>
      </w:r>
      <w:r>
        <w:t>reviewer checks profile, verification state and bank scope.</w:t>
      </w:r>
    </w:p>
    <w:p>
      <w:pPr>
        <w:pStyle w:val="Heading2"/>
        <w:keepNext/>
      </w:pPr>
      <w:r>
        <w:t>FR-04   AC-04.1–5</w:t>
      </w:r>
    </w:p>
    <w:p>
      <w:r>
        <w:rPr>
          <w:b/>
        </w:rPr>
        <w:t xml:space="preserve">TC-04-CT  Component. </w:t>
      </w:r>
      <w:r>
        <w:t>eligibility, collection timestamps and independent progress transitions.</w:t>
      </w:r>
    </w:p>
    <w:p>
      <w:r>
        <w:rPr>
          <w:b/>
        </w:rPr>
        <w:t xml:space="preserve">TC-04-IT  Integration. </w:t>
      </w:r>
      <w:r>
        <w:t>register/assess/collect; deferred donor blocked; failed collection produces no components; audit retained.</w:t>
      </w:r>
    </w:p>
    <w:p>
      <w:r>
        <w:rPr>
          <w:b/>
        </w:rPr>
        <w:t xml:space="preserve">TC-04-ST  System. </w:t>
      </w:r>
      <w:r>
        <w:t>staff record eligible and failed attempts; verify different outcomes.</w:t>
      </w:r>
    </w:p>
    <w:p>
      <w:r>
        <w:rPr>
          <w:b/>
        </w:rPr>
        <w:t xml:space="preserve">TC-04-AT  Acceptance. </w:t>
      </w:r>
      <w:r>
        <w:t>reviewer checks original donation ID, collection and processing states.</w:t>
      </w:r>
    </w:p>
    <w:p>
      <w:pPr>
        <w:pStyle w:val="Heading2"/>
        <w:keepNext/>
      </w:pPr>
      <w:r>
        <w:t>FR-05   AC-05.1–4</w:t>
      </w:r>
    </w:p>
    <w:p>
      <w:r>
        <w:rPr>
          <w:b/>
        </w:rPr>
        <w:t xml:space="preserve">TC-05-CT  Component. </w:t>
      </w:r>
      <w:r>
        <w:t>required-test completion and duplicate rejection-notification key.</w:t>
      </w:r>
    </w:p>
    <w:p>
      <w:r>
        <w:rPr>
          <w:b/>
        </w:rPr>
        <w:t xml:space="preserve">TC-05-IT  Integration. </w:t>
      </w:r>
      <w:r>
        <w:t>pending/rejected results block release; correction audit; one queued email; failure/retry retains rejection.</w:t>
      </w:r>
    </w:p>
    <w:p>
      <w:r>
        <w:rPr>
          <w:b/>
        </w:rPr>
        <w:t xml:space="preserve">TC-05-ST  System. </w:t>
      </w:r>
      <w:r>
        <w:t>laboratory rejects donation, reservation invalidates, mail sink receives one follow-up.</w:t>
      </w:r>
    </w:p>
    <w:p>
      <w:r>
        <w:rPr>
          <w:b/>
        </w:rPr>
        <w:t xml:space="preserve">TC-05-AT  Acceptance. </w:t>
      </w:r>
      <w:r>
        <w:t>reviewer checks decisions, history and delivery-status meaning.</w:t>
      </w:r>
    </w:p>
    <w:p>
      <w:pPr>
        <w:pStyle w:val="Heading2"/>
        <w:keepNext/>
      </w:pPr>
      <w:r>
        <w:t>FR-06   AC-06.1–5</w:t>
      </w:r>
    </w:p>
    <w:p>
      <w:r>
        <w:rPr>
          <w:b/>
        </w:rPr>
        <w:t xml:space="preserve">TC-06-CT  Component. </w:t>
      </w:r>
      <w:r>
        <w:t>expiry calculation from collection completion, policy version and missing configuration.</w:t>
      </w:r>
    </w:p>
    <w:p>
      <w:r>
        <w:rPr>
          <w:b/>
        </w:rPr>
        <w:t xml:space="preserve">TC-06-IT  Integration. </w:t>
      </w:r>
      <w:r>
        <w:t>create one physical component; incomplete collection and absent shelf life rejected; old expiry unchanged after policy edit.</w:t>
      </w:r>
    </w:p>
    <w:p>
      <w:r>
        <w:rPr>
          <w:b/>
        </w:rPr>
        <w:t xml:space="preserve">TC-06-ST  System. </w:t>
      </w:r>
      <w:r>
        <w:t>processing screen shows applied expiry and blocked invalid creation.</w:t>
      </w:r>
    </w:p>
    <w:p>
      <w:r>
        <w:rPr>
          <w:b/>
        </w:rPr>
        <w:t xml:space="preserve">TC-06-AT  Acceptance. </w:t>
      </w:r>
      <w:r>
        <w:t>reviewer checks calculation against approved demo policy.</w:t>
      </w:r>
    </w:p>
    <w:p>
      <w:pPr>
        <w:pStyle w:val="Heading2"/>
        <w:keepNext/>
      </w:pPr>
      <w:r>
        <w:t>FR-07   AC-07.1–3</w:t>
      </w:r>
    </w:p>
    <w:p>
      <w:r>
        <w:rPr>
          <w:b/>
        </w:rPr>
        <w:t xml:space="preserve">TC-07-CT  Component. </w:t>
      </w:r>
      <w:r>
        <w:t>availability predicate and one-container-one-unit totals.</w:t>
      </w:r>
    </w:p>
    <w:p>
      <w:r>
        <w:rPr>
          <w:b/>
        </w:rPr>
        <w:t xml:space="preserve">TC-07-IT  Integration. </w:t>
      </w:r>
      <w:r>
        <w:t>bank/type/group/status filters; excluded states absent from available count.</w:t>
      </w:r>
    </w:p>
    <w:p>
      <w:r>
        <w:rPr>
          <w:b/>
        </w:rPr>
        <w:t xml:space="preserve">TC-07-ST  System. </w:t>
      </w:r>
      <w:r>
        <w:t>inventory filters and detail match seeded components.</w:t>
      </w:r>
    </w:p>
    <w:p>
      <w:r>
        <w:rPr>
          <w:b/>
        </w:rPr>
        <w:t xml:space="preserve">TC-07-AT  Acceptance. </w:t>
      </w:r>
      <w:r>
        <w:t>reviewer reconciles list and available total.</w:t>
      </w:r>
    </w:p>
    <w:p>
      <w:pPr>
        <w:pStyle w:val="Heading2"/>
        <w:keepNext/>
      </w:pPr>
      <w:r>
        <w:t>FR-08   AC-08.1–3</w:t>
      </w:r>
    </w:p>
    <w:p>
      <w:r>
        <w:rPr>
          <w:b/>
        </w:rPr>
        <w:t xml:space="preserve">TC-08-CT  Component. </w:t>
      </w:r>
      <w:r>
        <w:t>reservation eligibility and full-quantity selection.</w:t>
      </w:r>
    </w:p>
    <w:p>
      <w:r>
        <w:rPr>
          <w:b/>
        </w:rPr>
        <w:t xml:space="preserve">TC-08-IT  Integration. </w:t>
      </w:r>
      <w:r>
        <w:t>atomic reserve/cancel/invalidate; repeat and competing requests never share a component.</w:t>
      </w:r>
    </w:p>
    <w:p>
      <w:r>
        <w:rPr>
          <w:b/>
        </w:rPr>
        <w:t xml:space="preserve">TC-08-ST  System. </w:t>
      </w:r>
      <w:r>
        <w:t>two requests compete; one obtains all units, other sees clear refusal.</w:t>
      </w:r>
    </w:p>
    <w:p>
      <w:r>
        <w:rPr>
          <w:b/>
        </w:rPr>
        <w:t xml:space="preserve">TC-08-AT  Acceptance. </w:t>
      </w:r>
      <w:r>
        <w:t>reviewer checks no partial stock loss and release after cancel.</w:t>
      </w:r>
    </w:p>
    <w:p>
      <w:pPr>
        <w:pStyle w:val="Heading2"/>
        <w:keepNext/>
      </w:pPr>
      <w:r>
        <w:t>FR-09   AC-09.1–5</w:t>
      </w:r>
    </w:p>
    <w:p>
      <w:r>
        <w:rPr>
          <w:b/>
        </w:rPr>
        <w:t xml:space="preserve">TC-09-CT  Component. </w:t>
      </w:r>
      <w:r>
        <w:t>conditional patient fields, positive units, date and unknown/not-applicable rules.</w:t>
      </w:r>
    </w:p>
    <w:p>
      <w:r>
        <w:rPr>
          <w:b/>
        </w:rPr>
        <w:t xml:space="preserve">TC-09-IT  Integration. </w:t>
      </w:r>
      <w:r>
        <w:t>full valid payload persists snapshots; invalid/missing values rejected; hospital derived from actor.</w:t>
      </w:r>
    </w:p>
    <w:p>
      <w:r>
        <w:rPr>
          <w:b/>
        </w:rPr>
        <w:t xml:space="preserve">TC-09-ST  System. </w:t>
      </w:r>
      <w:r>
        <w:t>hospital creates request, sees Pending, then corrects form errors.</w:t>
      </w:r>
    </w:p>
    <w:p>
      <w:r>
        <w:rPr>
          <w:b/>
        </w:rPr>
        <w:t xml:space="preserve">TC-09-AT  Acceptance. </w:t>
      </w:r>
      <w:r>
        <w:t>reviewer checks required clinical/administrative fields and unit meaning.</w:t>
      </w:r>
    </w:p>
    <w:p>
      <w:pPr>
        <w:pStyle w:val="Heading2"/>
        <w:keepNext/>
      </w:pPr>
      <w:r>
        <w:t>FR-10   AC-10.1–3</w:t>
      </w:r>
    </w:p>
    <w:p>
      <w:r>
        <w:rPr>
          <w:b/>
        </w:rPr>
        <w:t xml:space="preserve">TC-10-CT  Component. </w:t>
      </w:r>
      <w:r>
        <w:t>request transition table and terminal-state protection.</w:t>
      </w:r>
    </w:p>
    <w:p>
      <w:r>
        <w:rPr>
          <w:b/>
        </w:rPr>
        <w:t xml:space="preserve">TC-10-IT  Integration. </w:t>
      </w:r>
      <w:r>
        <w:t>accept/reject/cancel/reserve/fulfill; invalidation returns Accepted; status events stored.</w:t>
      </w:r>
    </w:p>
    <w:p>
      <w:r>
        <w:rPr>
          <w:b/>
        </w:rPr>
        <w:t xml:space="preserve">TC-10-ST  System. </w:t>
      </w:r>
      <w:r>
        <w:t>hospital and bank see consistent request history after each step.</w:t>
      </w:r>
    </w:p>
    <w:p>
      <w:r>
        <w:rPr>
          <w:b/>
        </w:rPr>
        <w:t xml:space="preserve">TC-10-AT  Acceptance. </w:t>
      </w:r>
      <w:r>
        <w:t>reviewer walks allowed and forbidden transitions.</w:t>
      </w:r>
    </w:p>
    <w:p>
      <w:pPr>
        <w:pStyle w:val="Heading2"/>
        <w:keepNext/>
      </w:pPr>
      <w:r>
        <w:t>FR-11   AC-11.1–4</w:t>
      </w:r>
    </w:p>
    <w:p>
      <w:r>
        <w:rPr>
          <w:b/>
        </w:rPr>
        <w:t xml:space="preserve">TC-11-CT  Component. </w:t>
      </w:r>
      <w:r>
        <w:t>exact type, ABO, Rh and required attributes; no substitutions.</w:t>
      </w:r>
    </w:p>
    <w:p>
      <w:r>
        <w:rPr>
          <w:b/>
        </w:rPr>
        <w:t xml:space="preserve">TC-11-IT  Integration. </w:t>
      </w:r>
      <w:r>
        <w:t>filter unavailable units, require whole quantity at one bank, no candidate list exposed.</w:t>
      </w:r>
    </w:p>
    <w:p>
      <w:r>
        <w:rPr>
          <w:b/>
        </w:rPr>
        <w:t xml:space="preserve">TC-11-ST  System. </w:t>
      </w:r>
      <w:r>
        <w:t>search shows match/no match without changing inventory.</w:t>
      </w:r>
    </w:p>
    <w:p>
      <w:r>
        <w:rPr>
          <w:b/>
        </w:rPr>
        <w:t xml:space="preserve">TC-11-AT  Acceptance. </w:t>
      </w:r>
      <w:r>
        <w:t>reviewer checks exact matching against known inventory.</w:t>
      </w:r>
    </w:p>
    <w:p>
      <w:pPr>
        <w:pStyle w:val="Heading2"/>
        <w:keepNext/>
      </w:pPr>
      <w:r>
        <w:t>FR-12   AC-12.1–4</w:t>
      </w:r>
    </w:p>
    <w:p>
      <w:r>
        <w:rPr>
          <w:b/>
        </w:rPr>
        <w:t xml:space="preserve">TC-12-CT  Component. </w:t>
      </w:r>
      <w:r>
        <w:t>Haversine distance, units, tie-break, invalid coordinates.</w:t>
      </w:r>
    </w:p>
    <w:p>
      <w:r>
        <w:rPr>
          <w:b/>
        </w:rPr>
        <w:t xml:space="preserve">TC-12-IT  Integration. </w:t>
      </w:r>
      <w:r>
        <w:t>only nearest qualifying bank returned; missing coordinates block search publication.</w:t>
      </w:r>
    </w:p>
    <w:p>
      <w:r>
        <w:rPr>
          <w:b/>
        </w:rPr>
        <w:t xml:space="preserve">TC-12-ST  System. </w:t>
      </w:r>
      <w:r>
        <w:t>same inputs repeatedly show one bank/distance; no-match state is clear.</w:t>
      </w:r>
    </w:p>
    <w:p>
      <w:r>
        <w:rPr>
          <w:b/>
        </w:rPr>
        <w:t xml:space="preserve">TC-12-AT  Acceptance. </w:t>
      </w:r>
      <w:r>
        <w:t>reviewer checks known-distance fixture and stable tie.</w:t>
      </w:r>
    </w:p>
    <w:p>
      <w:pPr>
        <w:pStyle w:val="Heading2"/>
        <w:keepNext/>
      </w:pPr>
      <w:r>
        <w:t>FR-13   AC-13.1–3</w:t>
      </w:r>
    </w:p>
    <w:p>
      <w:r>
        <w:rPr>
          <w:b/>
        </w:rPr>
        <w:t xml:space="preserve">TC-13-CT  Component. </w:t>
      </w:r>
      <w:r>
        <w:t>confirmation recheck of source, quantity and eligibility.</w:t>
      </w:r>
    </w:p>
    <w:p>
      <w:r>
        <w:rPr>
          <w:b/>
        </w:rPr>
        <w:t xml:space="preserve">TC-13-IT  Integration. </w:t>
      </w:r>
      <w:r>
        <w:t>authorized source confirms; stale or changed stock rejects without partial reservation.</w:t>
      </w:r>
    </w:p>
    <w:p>
      <w:r>
        <w:rPr>
          <w:b/>
        </w:rPr>
        <w:t xml:space="preserve">TC-13-ST  System. </w:t>
      </w:r>
      <w:r>
        <w:t>staff review identifiers/distance then confirm; stale case displays refusal.</w:t>
      </w:r>
    </w:p>
    <w:p>
      <w:r>
        <w:rPr>
          <w:b/>
        </w:rPr>
        <w:t xml:space="preserve">TC-13-AT  Acceptance. </w:t>
      </w:r>
      <w:r>
        <w:t>reviewer checks approval boundary and atomic result.</w:t>
      </w:r>
    </w:p>
    <w:p>
      <w:pPr>
        <w:pStyle w:val="Heading2"/>
        <w:keepNext/>
      </w:pPr>
      <w:r>
        <w:t>FR-14   AC-14.1–3</w:t>
      </w:r>
    </w:p>
    <w:p>
      <w:r>
        <w:rPr>
          <w:b/>
        </w:rPr>
        <w:t xml:space="preserve">TC-14-CT  Component. </w:t>
      </w:r>
      <w:r>
        <w:t>event redaction and trace-link formatting.</w:t>
      </w:r>
    </w:p>
    <w:p>
      <w:r>
        <w:rPr>
          <w:b/>
        </w:rPr>
        <w:t xml:space="preserve">TC-14-IT  Integration. </w:t>
      </w:r>
      <w:r>
        <w:t>component-to-donor/request and request-to-components trace; correction/cancellation events immutable and scoped.</w:t>
      </w:r>
    </w:p>
    <w:p>
      <w:r>
        <w:rPr>
          <w:b/>
        </w:rPr>
        <w:t xml:space="preserve">TC-14-ST  System. </w:t>
      </w:r>
      <w:r>
        <w:t>authorized roles trace both directions; restricted role sees redacted details.</w:t>
      </w:r>
    </w:p>
    <w:p>
      <w:r>
        <w:rPr>
          <w:b/>
        </w:rPr>
        <w:t xml:space="preserve">TC-14-AT  Acceptance. </w:t>
      </w:r>
      <w:r>
        <w:t>reviewer audits a seeded component's complete chain.</w:t>
      </w:r>
    </w:p>
    <w:p>
      <w:pPr>
        <w:pStyle w:val="Heading2"/>
        <w:keepNext/>
      </w:pPr>
      <w:r>
        <w:t>FR-15   AC-15.1–3</w:t>
      </w:r>
    </w:p>
    <w:p>
      <w:r>
        <w:rPr>
          <w:b/>
        </w:rPr>
        <w:t xml:space="preserve">TC-15-CT  Component. </w:t>
      </w:r>
      <w:r>
        <w:t>report aggregation and zero-result formatting.</w:t>
      </w:r>
    </w:p>
    <w:p>
      <w:r>
        <w:rPr>
          <w:b/>
        </w:rPr>
        <w:t xml:space="preserve">TC-15-IT  Integration. </w:t>
      </w:r>
      <w:r>
        <w:t>known fixture totals, date/bank filters, denied scope and read-only query.</w:t>
      </w:r>
    </w:p>
    <w:p>
      <w:r>
        <w:rPr>
          <w:b/>
        </w:rPr>
        <w:t xml:space="preserve">TC-15-ST  System. </w:t>
      </w:r>
      <w:r>
        <w:t>report UI totals reconcile to seeded records; empty state visible.</w:t>
      </w:r>
    </w:p>
    <w:p>
      <w:r>
        <w:rPr>
          <w:b/>
        </w:rPr>
        <w:t xml:space="preserve">TC-15-AT  Acceptance. </w:t>
      </w:r>
      <w:r>
        <w:t>reviewer validates totals against manual fixture sheet.</w:t>
      </w:r>
    </w:p>
    <w:p>
      <w:pPr>
        <w:pStyle w:val="Heading2"/>
        <w:keepNext/>
      </w:pPr>
      <w:r>
        <w:t>FR-16   AC-16.1–5</w:t>
      </w:r>
    </w:p>
    <w:p>
      <w:r>
        <w:rPr>
          <w:b/>
        </w:rPr>
        <w:t xml:space="preserve">TC-16-CT  Component. </w:t>
      </w:r>
      <w:r>
        <w:t>demand-series extraction, nonnegative output and horizon validation.</w:t>
      </w:r>
    </w:p>
    <w:p>
      <w:r>
        <w:rPr>
          <w:b/>
        </w:rPr>
        <w:t xml:space="preserve">TC-16-IT  Integration. </w:t>
      </w:r>
      <w:r>
        <w:t>job/request permissions, versioned stored points, timeout/failure, no future-data leakage.</w:t>
      </w:r>
    </w:p>
    <w:p>
      <w:r>
        <w:rPr>
          <w:b/>
        </w:rPr>
        <w:t xml:space="preserve">TC-16-ST  System. </w:t>
      </w:r>
      <w:r>
        <w:t>authorized bank views run and points; other bank denied.</w:t>
      </w:r>
    </w:p>
    <w:p>
      <w:r>
        <w:rPr>
          <w:b/>
        </w:rPr>
        <w:t xml:space="preserve">TC-16-AT  Acceptance. </w:t>
      </w:r>
      <w:r>
        <w:t>reviewer approves target definition and checks backtest/baseline evidence.</w:t>
      </w:r>
    </w:p>
    <w:p>
      <w:pPr>
        <w:pStyle w:val="Heading2"/>
        <w:keepNext/>
      </w:pPr>
      <w:r>
        <w:t>FR-17   AC-17.1–4</w:t>
      </w:r>
    </w:p>
    <w:p>
      <w:r>
        <w:rPr>
          <w:b/>
        </w:rPr>
        <w:t xml:space="preserve">TC-17-CT  Component. </w:t>
      </w:r>
      <w:r>
        <w:t>valid role/organization combinations and bank-admin allowed-role list.</w:t>
      </w:r>
    </w:p>
    <w:p>
      <w:r>
        <w:rPr>
          <w:b/>
        </w:rPr>
        <w:t xml:space="preserve">TC-17-IT  Integration. </w:t>
      </w:r>
      <w:r>
        <w:t>admin create/edit/deactivate; bank-admin same-bank limited role change; token invalidation and audit.</w:t>
      </w:r>
    </w:p>
    <w:p>
      <w:r>
        <w:rPr>
          <w:b/>
        </w:rPr>
        <w:t xml:space="preserve">TC-17-ST  System. </w:t>
      </w:r>
      <w:r>
        <w:t>staff-management UI demonstrates allowed and denied edits.</w:t>
      </w:r>
    </w:p>
    <w:p>
      <w:r>
        <w:rPr>
          <w:b/>
        </w:rPr>
        <w:t xml:space="preserve">TC-17-AT  Acceptance. </w:t>
      </w:r>
      <w:r>
        <w:t>reviewer checks account lifecycle and assignment restrictions.</w:t>
      </w:r>
    </w:p>
    <w:p>
      <w:pPr>
        <w:pStyle w:val="Heading2"/>
        <w:keepNext/>
      </w:pPr>
      <w:r>
        <w:t>FR-18   AC-18.1–4</w:t>
      </w:r>
    </w:p>
    <w:p>
      <w:r>
        <w:rPr>
          <w:b/>
        </w:rPr>
        <w:t xml:space="preserve">TC-18-CT  Component. </w:t>
      </w:r>
      <w:r>
        <w:t>issue eligibility and complete reserved-quantity rule.</w:t>
      </w:r>
    </w:p>
    <w:p>
      <w:r>
        <w:rPr>
          <w:b/>
        </w:rPr>
        <w:t xml:space="preserve">TC-18-IT  Integration. </w:t>
      </w:r>
      <w:r>
        <w:t>issue transaction updates request/components/reservations together; duplicate/wrong-source/expired issue rejected.</w:t>
      </w:r>
    </w:p>
    <w:p>
      <w:r>
        <w:rPr>
          <w:b/>
        </w:rPr>
        <w:t xml:space="preserve">TC-18-ST  System. </w:t>
      </w:r>
      <w:r>
        <w:t>bank issues units; fulfilled request traces issued containers; search excludes them.</w:t>
      </w:r>
    </w:p>
    <w:p>
      <w:r>
        <w:rPr>
          <w:b/>
        </w:rPr>
        <w:t xml:space="preserve">TC-18-AT  Acceptance. </w:t>
      </w:r>
      <w:r>
        <w:t>reviewer verifies Issued means source-bank issue only.</w:t>
      </w:r>
    </w:p>
    <w:p>
      <w:pPr>
        <w:pStyle w:val="Heading2"/>
        <w:keepNext/>
      </w:pPr>
      <w:r>
        <w:t>FR-19   AC-19.1–3</w:t>
      </w:r>
    </w:p>
    <w:p>
      <w:r>
        <w:rPr>
          <w:b/>
        </w:rPr>
        <w:t xml:space="preserve">TC-19-CT  Component. </w:t>
      </w:r>
      <w:r>
        <w:t>expires-at-now boundary and disposal transition.</w:t>
      </w:r>
    </w:p>
    <w:p>
      <w:r>
        <w:rPr>
          <w:b/>
        </w:rPr>
        <w:t xml:space="preserve">TC-19-IT  Integration. </w:t>
      </w:r>
      <w:r>
        <w:t>expired stock excluded before job; disposal audit; active reservation invalidated atomically.</w:t>
      </w:r>
    </w:p>
    <w:p>
      <w:r>
        <w:rPr>
          <w:b/>
        </w:rPr>
        <w:t xml:space="preserve">TC-19-ST  System. </w:t>
      </w:r>
      <w:r>
        <w:t>expiry/disposal changes stock and request state; repeat disposal refused.</w:t>
      </w:r>
    </w:p>
    <w:p>
      <w:r>
        <w:rPr>
          <w:b/>
        </w:rPr>
        <w:t xml:space="preserve">TC-19-AT  Acceptance. </w:t>
      </w:r>
      <w:r>
        <w:t>reviewer checks time boundary and disposal evidence.</w:t>
      </w:r>
    </w:p>
    <w:p>
      <w:pPr>
        <w:pStyle w:val="Heading2"/>
        <w:keepNext/>
      </w:pPr>
      <w:r>
        <w:t>FR-20   AC-20.1–3</w:t>
      </w:r>
    </w:p>
    <w:p>
      <w:r>
        <w:rPr>
          <w:b/>
        </w:rPr>
        <w:t xml:space="preserve">TC-20-CT  Component. </w:t>
      </w:r>
      <w:r>
        <w:t>dashboard count and CSV cell escaping rules.</w:t>
      </w:r>
    </w:p>
    <w:p>
      <w:r>
        <w:rPr>
          <w:b/>
        </w:rPr>
        <w:t xml:space="preserve">TC-20-IT  Integration. </w:t>
      </w:r>
      <w:r>
        <w:t>figures reconcile; filtered CSV columns, scope, escaping and empty export.</w:t>
      </w:r>
    </w:p>
    <w:p>
      <w:r>
        <w:rPr>
          <w:b/>
        </w:rPr>
        <w:t xml:space="preserve">TC-20-ST  System. </w:t>
      </w:r>
      <w:r>
        <w:t>dashboard/export display selected filters and downloadable safe data.</w:t>
      </w:r>
    </w:p>
    <w:p>
      <w:r>
        <w:rPr>
          <w:b/>
        </w:rPr>
        <w:t xml:space="preserve">TC-20-AT  Acceptance. </w:t>
      </w:r>
      <w:r>
        <w:t>reviewer compares dashboard, lists, forecast and CSV.</w:t>
      </w:r>
    </w:p>
    <w:p>
      <w:pPr>
        <w:pStyle w:val="Heading1"/>
        <w:keepNext/>
      </w:pPr>
      <w:r>
        <w:t>6 Cross cutting checks</w:t>
      </w:r>
    </w:p>
    <w:tbl>
      <w:tblPr>
        <w:tblW w:type="auto" w:w="0"/>
        <w:tblLayout w:type="fixed"/>
        <w:tblLook w:firstColumn="1" w:firstRow="1" w:lastColumn="0" w:lastRow="0" w:noHBand="0" w:noVBand="1" w:val="04A0"/>
      </w:tblPr>
      <w:tblGrid>
        <w:gridCol w:w="1152"/>
        <w:gridCol w:w="2160"/>
        <w:gridCol w:w="6624"/>
      </w:tblGrid>
      <w:tr>
        <w:trPr>
          <w:tblHeader w:val="true"/>
          <w:cantSplit/>
        </w:trPr>
        <w:tc>
          <w:tcPr>
            <w:tcW w:type="dxa" w:w="1152"/>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ID</w:t>
            </w:r>
          </w:p>
        </w:tc>
        <w:tc>
          <w:tcPr>
            <w:tcW w:type="dxa" w:w="21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Check</w:t>
            </w:r>
          </w:p>
        </w:tc>
        <w:tc>
          <w:tcPr>
            <w:tcW w:type="dxa" w:w="6624"/>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Pass rule and method</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TC-X-SEC</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Authorization and sensitive data</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For each protected endpoint, test unauthenticated, wrong role, wrong bank/hospital, and inactive token. Assert 401/403 as documented, no unauthorized record changes, no donor/patient fields in restricted traces or CSV. Use synthetic data.</w:t>
            </w:r>
          </w:p>
        </w:tc>
      </w:tr>
      <w:tr>
        <w:trPr>
          <w:cantSplit/>
        </w:trPr>
        <w:tc>
          <w:tcPr>
            <w:tcW w:type="dxa" w:w="115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TC-X-CON</w:t>
            </w:r>
          </w:p>
        </w:tc>
        <w:tc>
          <w:tcPr>
            <w:tcW w:type="dxa" w:w="21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Concurrency</w:t>
            </w:r>
          </w:p>
        </w:tc>
        <w:tc>
          <w:tcPr>
            <w:tcW w:type="dxa" w:w="662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On the production database engine in isolated CI, send simultaneous confirmations/issues for the same components. Assert one success, one conflict, one active reservation or issue per component, and unchanged records on the losing transaction.</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TC-X-API</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Contract</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Compare implemented routes and JSON error shapes to docs/openapi.yaml and docs/BACKEND_API_REFERENCE.md. Run schema/response checks for implemented endpoints; update the OpenAPI definition when an approved contract changes.</w:t>
            </w:r>
          </w:p>
        </w:tc>
      </w:tr>
      <w:tr>
        <w:trPr>
          <w:cantSplit/>
        </w:trPr>
        <w:tc>
          <w:tcPr>
            <w:tcW w:type="dxa" w:w="115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TC-X-ACC</w:t>
            </w:r>
          </w:p>
        </w:tc>
        <w:tc>
          <w:tcPr>
            <w:tcW w:type="dxa" w:w="21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Accessibility</w:t>
            </w:r>
          </w:p>
        </w:tc>
        <w:tc>
          <w:tcPr>
            <w:tcW w:type="dxa" w:w="662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Keyboard-only navigation and screen-reader-oriented label/focus/error checks in Playwright/Testing Library. Run axe on major screens and manual review of critical workflows; record issues by WCAG criterion.</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TC-X-PERF</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Performance</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Seed realistic documented record volumes, measure p95 API latency, query count and frontend Lighthouse results on a fixed machine/build. Agree numeric targets before declaring pass; investigate N+1 queries and slow inventory search.</w:t>
            </w:r>
          </w:p>
        </w:tc>
      </w:tr>
      <w:tr>
        <w:trPr>
          <w:cantSplit/>
        </w:trPr>
        <w:tc>
          <w:tcPr>
            <w:tcW w:type="dxa" w:w="115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TC-X-REC</w:t>
            </w:r>
          </w:p>
        </w:tc>
        <w:tc>
          <w:tcPr>
            <w:tcW w:type="dxa" w:w="21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Failure/recovery</w:t>
            </w:r>
          </w:p>
        </w:tc>
        <w:tc>
          <w:tcPr>
            <w:tcW w:type="dxa" w:w="662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Kill/retry the email worker and forecast service, simulate transaction failure, and rerun idempotent requests. Assert no partial issue/reservation, one notification event per rejection, and visible actionable errors.</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TC-X-AI</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Forecast evaluation</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Freeze a historical cutoff, train only on data available then, use chronological holdout, compare MAE to a simple baseline, test empty/sparse series and nonnegative outputs. Record model/data/policy versions. Agree acceptable accuracy with project reviewer before sign-off.</w:t>
            </w:r>
          </w:p>
        </w:tc>
      </w:tr>
    </w:tbl>
    <w:p>
      <w:pPr>
        <w:spacing w:after="40"/>
      </w:pPr>
    </w:p>
    <w:p>
      <w:r>
        <w:t>Current status: security and API contract checks have partial Identity evidence. Concurrency, accessibility audit, fixed-volume performance, recovery, and forecast evaluation do not have executed results in this repository. No Lighthouse score is treated as proof of transaction or authorization behavior.</w:t>
      </w:r>
    </w:p>
    <w:p>
      <w:pPr>
        <w:pStyle w:val="Heading1"/>
        <w:keepNext/>
      </w:pPr>
      <w:r>
        <w:t>7 Current automated tests and coverage</w:t>
      </w:r>
    </w:p>
    <w:p>
      <w:r>
        <w:t>The following inventory records every discovered test in the current suites. Descriptions summarize the assertions visible in each file. All listed tests passed in the run recorded in Section 8; this does not extend their scope beyond their assertions.</w:t>
      </w:r>
    </w:p>
    <w:p>
      <w:pPr>
        <w:pStyle w:val="Heading2"/>
        <w:keepNext/>
      </w:pPr>
      <w:r>
        <w:t>Identity authentication</w:t>
      </w:r>
    </w:p>
    <w:p>
      <w:pPr>
        <w:keepNext/>
      </w:pPr>
      <w:r>
        <w:t>backend/Modules/Identity/tests/Feature/AuthenticationTest.php  |  FR-02; TC-02-IT partial</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active user can log in and read current user</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Active login issues a token and /users/me omits the password.</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wrong password unknown email and inactive account share a generic 401</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Unknown email, wrong password, and inactive account share a generic 401.</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login validates required fields and device name</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Missing fields and invalid device name return validation errors.</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login is rate limited</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Five failed attempts trigger the login rate limit.</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protected routes require a valid token</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Protected routes reject missing or invalid bearer tokens.</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deactivation blocks a previously issued token on every protected route</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Inactive accounts lose access to protected routes.</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expired token is rejected</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Expired bearer tokens are rejected.</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logout revokes only the presenting token</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Logout revokes only the presenting token.</w:t>
            </w:r>
          </w:p>
        </w:tc>
      </w:tr>
    </w:tbl>
    <w:p>
      <w:pPr>
        <w:spacing w:after="40"/>
      </w:pPr>
    </w:p>
    <w:p>
      <w:pPr>
        <w:pStyle w:val="Heading2"/>
        <w:keepNext/>
      </w:pPr>
      <w:r>
        <w:t>Identity user management</w:t>
      </w:r>
    </w:p>
    <w:p>
      <w:pPr>
        <w:keepNext/>
      </w:pPr>
      <w:r>
        <w:t>backend/Modules/Identity/tests/Feature/UserManagementTest.php  |  FR-02 and FR-17; TC-17-IT partial</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demo administrator can log in with seeded credentials</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Local demo administrator seed is idempotent, password is hashed, and login succeeds.</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only administrator can access user management and roles</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Anonymous and nonadministrator actors cannot manage users or roles; missing user IDs do not leak existence.</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administrator can create bank staff and new user can log in</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Administrator creates bank staff; password is hashed and new staff can log in.</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creation rejects invalid scope duplicate email and unexpected fields</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Invalid scope, unexpected fields, weak initial password, and duplicate email are refused.</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administrator can list get and update users without changing protected fields</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Administrator lists, reads, and edits profile fields while protected fields stay unchanged.</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user list uses a cursor and filters active accounts</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User list cursor, active and role filters, and invalid token handling work.</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role assignment requires matching organization and lists seeded roles</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Role list contains eight entries and assignment requires a matching organization.</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hospital staff creation rejects inactive organization</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Inactive hospital is refused; active hospital can receive a requester.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deactivation revokes tokens records reason and requires a new login after activation</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Deactivation revokes tokens, records reason, and reactivation requires a new login.</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last active administrator cannot be deactivated or demoted</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Last active administrator cannot be deactivated or demoted.</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inactive or demoted administrator loses management access</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Demoted or inactive administrator loses management access.</w:t>
            </w:r>
          </w:p>
        </w:tc>
      </w:tr>
    </w:tbl>
    <w:p>
      <w:pPr>
        <w:spacing w:after="40"/>
      </w:pPr>
    </w:p>
    <w:p>
      <w:pPr>
        <w:pStyle w:val="Heading2"/>
        <w:keepNext/>
      </w:pPr>
      <w:r>
        <w:t>Organization records</w:t>
      </w:r>
    </w:p>
    <w:p>
      <w:pPr>
        <w:keepNext/>
      </w:pPr>
      <w:r>
        <w:t>backend/Modules/Organizations/tests/Feature/OrganizationRecordsTest.php  |  FR-01; model and seed coverage, TC-01-IT partial</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root seeder creates two banks and two hospitals</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Root seed creates two banks, two hospitals, and the demo user.</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reseeding preserves existing facility changes</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Reseeding preserves a changed facility active flag.</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models generate url safe ids and cast facility fields</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Models generate URL safe IDs and cast facility fields.</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active bank without contact channel is rejected</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Active bank requires a contact channel.</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active hospital without coordinates is rejected</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Active hospital requires coordinates.</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out of range coordinates are rejected</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Out of range longitude is rejected.</w:t>
            </w:r>
          </w:p>
        </w:tc>
      </w:tr>
    </w:tbl>
    <w:p>
      <w:pPr>
        <w:spacing w:after="40"/>
      </w:pPr>
    </w:p>
    <w:p>
      <w:pPr>
        <w:pStyle w:val="Heading2"/>
        <w:keepNext/>
      </w:pPr>
      <w:r>
        <w:t>API documentation</w:t>
      </w:r>
    </w:p>
    <w:p>
      <w:pPr>
        <w:keepNext/>
      </w:pPr>
      <w:r>
        <w:t>backend/tests/Feature/ApiDocumentationTest.php  |  TC-X-API partial</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swagger page points to the served specification</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Swagger page points to its served OpenAPI specification.</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openapi document is available for the live identity routes</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OpenAPI YAML is served and includes implemented Identity paths.</w:t>
            </w:r>
          </w:p>
        </w:tc>
      </w:tr>
    </w:tbl>
    <w:p>
      <w:pPr>
        <w:spacing w:after="40"/>
      </w:pPr>
    </w:p>
    <w:p>
      <w:pPr>
        <w:pStyle w:val="Heading2"/>
        <w:keepNext/>
      </w:pPr>
      <w:r>
        <w:t>Backend scaffold examples</w:t>
      </w:r>
    </w:p>
    <w:p>
      <w:pPr>
        <w:keepNext/>
      </w:pPr>
      <w:r>
        <w:t>backend/tests/Feature/ExampleTest.php  |  Framework smoke check only</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the application returns a successful response</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Application root route returns HTTP 200.</w:t>
            </w:r>
          </w:p>
        </w:tc>
      </w:tr>
    </w:tbl>
    <w:p>
      <w:pPr>
        <w:spacing w:after="40"/>
      </w:pPr>
    </w:p>
    <w:p>
      <w:pPr>
        <w:pStyle w:val="Heading2"/>
        <w:keepNext/>
      </w:pPr>
      <w:r>
        <w:t>Backend unit scaffold</w:t>
      </w:r>
    </w:p>
    <w:p>
      <w:pPr>
        <w:keepNext/>
      </w:pPr>
      <w:r>
        <w:t>backend/tests/Unit/ExampleTest.php  |  No requirement coverage</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that true is true</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True equals true; this is a scaffold assertion.</w:t>
            </w:r>
          </w:p>
        </w:tc>
      </w:tr>
    </w:tbl>
    <w:p>
      <w:pPr>
        <w:spacing w:after="40"/>
      </w:pPr>
    </w:p>
    <w:p>
      <w:pPr>
        <w:pStyle w:val="Heading2"/>
        <w:keepNext/>
      </w:pPr>
      <w:r>
        <w:t>Frontend access rules</w:t>
      </w:r>
    </w:p>
    <w:p>
      <w:pPr>
        <w:keepNext/>
      </w:pPr>
      <w:r>
        <w:t>frontend/src/lib/access.test.js  |  FR-02; TC-02-CT partial</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each of the eight documented staff roles has a workspace</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All eight documented roles resolve to a workspace.</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administrators do not inherit collection or laboratory access</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Administrators do not inherit collection or laboratory menu areas.</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hospital navigation excludes bank stock and staff administration</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Hospital navigation excludes inventory and staff management.</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unknown roles fail closed and resource/object roles resolve</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Unknown roles fail closed and role resource strings resolve.</w:t>
            </w:r>
          </w:p>
        </w:tc>
      </w:tr>
    </w:tbl>
    <w:p>
      <w:pPr>
        <w:spacing w:after="40"/>
      </w:pPr>
    </w:p>
    <w:p>
      <w:pPr>
        <w:pStyle w:val="Heading2"/>
        <w:keepNext/>
      </w:pPr>
      <w:r>
        <w:t>Frontend session client</w:t>
      </w:r>
    </w:p>
    <w:p>
      <w:pPr>
        <w:keepNext/>
      </w:pPr>
      <w:r>
        <w:t>frontend/src/lib/api.test.js  |  FR-02; client transport integration</w:t>
      </w:r>
    </w:p>
    <w:tbl>
      <w:tblPr>
        <w:tblW w:type="auto" w:w="0"/>
        <w:tblLayout w:type="fixed"/>
        <w:tblLook w:firstColumn="1" w:firstRow="1" w:lastColumn="0" w:lastRow="0" w:noHBand="0" w:noVBand="1" w:val="04A0"/>
      </w:tblPr>
      <w:tblGrid>
        <w:gridCol w:w="3960"/>
        <w:gridCol w:w="5976"/>
      </w:tblGrid>
      <w:tr>
        <w:trPr>
          <w:tblHeader w:val="true"/>
          <w:cantSplit/>
        </w:trPr>
        <w:tc>
          <w:tcPr>
            <w:tcW w:type="dxa" w:w="396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Test case in file</w:t>
            </w:r>
          </w:p>
        </w:tc>
        <w:tc>
          <w:tcPr>
            <w:tcW w:type="dxa" w:w="597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Verified behavior</w:t>
            </w:r>
          </w:p>
        </w:tc>
      </w:tr>
      <w:tr>
        <w:trPr>
          <w:cantSplit/>
        </w:trPr>
        <w:tc>
          <w:tcPr>
            <w:tcW w:type="dxa" w:w="39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session login and logout use the documented JSON API and bearer token</w:t>
            </w:r>
          </w:p>
        </w:tc>
        <w:tc>
          <w:tcPr>
            <w:tcW w:type="dxa" w:w="59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Real loopback HTTP server receives login JSON and logout bearer header.</w:t>
            </w:r>
          </w:p>
        </w:tc>
      </w:tr>
      <w:tr>
        <w:trPr>
          <w:cantSplit/>
        </w:trPr>
        <w:tc>
          <w:tcPr>
            <w:tcW w:type="dxa" w:w="396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failed login and unreachable API show actionable errors</w:t>
            </w:r>
          </w:p>
        </w:tc>
        <w:tc>
          <w:tcPr>
            <w:tcW w:type="dxa" w:w="597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401 and unreachable API produce actionable client errors.</w:t>
            </w:r>
          </w:p>
        </w:tc>
      </w:tr>
    </w:tbl>
    <w:p>
      <w:pPr>
        <w:spacing w:after="40"/>
      </w:pPr>
    </w:p>
    <w:p>
      <w:pPr>
        <w:pStyle w:val="Heading2"/>
        <w:keepNext/>
      </w:pPr>
      <w:r>
        <w:t>7.1 Coverage interpretation</w:t>
      </w:r>
    </w:p>
    <w:tbl>
      <w:tblPr>
        <w:tblW w:type="auto" w:w="0"/>
        <w:tblLayout w:type="fixed"/>
        <w:tblLook w:firstColumn="1" w:firstRow="1" w:lastColumn="0" w:lastRow="0" w:noHBand="0" w:noVBand="1" w:val="04A0"/>
      </w:tblPr>
      <w:tblGrid>
        <w:gridCol w:w="1656"/>
        <w:gridCol w:w="3888"/>
        <w:gridCol w:w="4392"/>
      </w:tblGrid>
      <w:tr>
        <w:trPr>
          <w:tblHeader w:val="true"/>
          <w:cantSplit/>
        </w:trPr>
        <w:tc>
          <w:tcPr>
            <w:tcW w:type="dxa" w:w="1656"/>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Requirement</w:t>
            </w:r>
          </w:p>
        </w:tc>
        <w:tc>
          <w:tcPr>
            <w:tcW w:type="dxa" w:w="3888"/>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Current evidence</w:t>
            </w:r>
          </w:p>
        </w:tc>
        <w:tc>
          <w:tcPr>
            <w:tcW w:type="dxa" w:w="4392"/>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Still needed</w:t>
            </w:r>
          </w:p>
        </w:tc>
      </w:tr>
      <w:tr>
        <w:trPr>
          <w:cantSplit/>
        </w:trPr>
        <w:tc>
          <w:tcPr>
            <w:tcW w:type="dxa" w:w="16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FR-01</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Facility model, validation, and seed tests pass.</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Admin organization CRUD routes, cross organization denial, and full CT, ST, AT execution.</w:t>
            </w:r>
          </w:p>
        </w:tc>
      </w:tr>
      <w:tr>
        <w:trPr>
          <w:cantSplit/>
        </w:trPr>
        <w:tc>
          <w:tcPr>
            <w:tcW w:type="dxa" w:w="165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FR-02</w:t>
            </w:r>
          </w:p>
        </w:tc>
        <w:tc>
          <w:tcPr>
            <w:tcW w:type="dxa" w:w="3888"/>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Backend login, token, active account, and role denial tests; frontend navigation and HTTP client tests pass.</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Rendered React test, each role through browser, scope denial across future routes, ST and AT sign off.</w:t>
            </w:r>
          </w:p>
        </w:tc>
      </w:tr>
      <w:tr>
        <w:trPr>
          <w:cantSplit/>
        </w:trPr>
        <w:tc>
          <w:tcPr>
            <w:tcW w:type="dxa" w:w="16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FR-17</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Administrator create, edit, assign, deactivate and audit tests pass.</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Bank administrator limited same bank role change, staff management UI, ST and AT execution.</w:t>
            </w:r>
          </w:p>
        </w:tc>
      </w:tr>
      <w:tr>
        <w:trPr>
          <w:cantSplit/>
        </w:trPr>
        <w:tc>
          <w:tcPr>
            <w:tcW w:type="dxa" w:w="1656"/>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FR-03 to FR-16; FR-18 to FR-20</w:t>
            </w:r>
          </w:p>
        </w:tc>
        <w:tc>
          <w:tcPr>
            <w:tcW w:type="dxa" w:w="3888"/>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No requirement specific automated tests found.</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Implement associated features and execute CT, IT, ST and AT cases.</w:t>
            </w:r>
          </w:p>
        </w:tc>
      </w:tr>
    </w:tbl>
    <w:p>
      <w:pPr>
        <w:spacing w:after="40"/>
      </w:pPr>
    </w:p>
    <w:p>
      <w:pPr>
        <w:pStyle w:val="Heading1"/>
        <w:keepNext/>
      </w:pPr>
      <w:r>
        <w:t>8 Execution record</w:t>
      </w:r>
    </w:p>
    <w:tbl>
      <w:tblPr>
        <w:tblW w:type="auto" w:w="0"/>
        <w:tblLayout w:type="fixed"/>
        <w:tblLook w:firstColumn="1" w:firstRow="1" w:lastColumn="0" w:lastRow="0" w:noHBand="0" w:noVBand="1" w:val="04A0"/>
      </w:tblPr>
      <w:tblGrid>
        <w:gridCol w:w="1800"/>
        <w:gridCol w:w="5328"/>
        <w:gridCol w:w="2808"/>
      </w:tblGrid>
      <w:tr>
        <w:trPr>
          <w:tblHeader w:val="true"/>
          <w:cantSplit/>
        </w:trPr>
        <w:tc>
          <w:tcPr>
            <w:tcW w:type="dxa" w:w="1800"/>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Run</w:t>
            </w:r>
          </w:p>
        </w:tc>
        <w:tc>
          <w:tcPr>
            <w:tcW w:type="dxa" w:w="5328"/>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Command and environment</w:t>
            </w:r>
          </w:p>
        </w:tc>
        <w:tc>
          <w:tcPr>
            <w:tcW w:type="dxa" w:w="2808"/>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Result</w:t>
            </w:r>
          </w:p>
        </w:tc>
      </w:tr>
      <w:tr>
        <w:trPr>
          <w:cantSplit/>
        </w:trPr>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Backend full suite</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cd backend &amp;&amp; php artisan test --compact</w:t>
              <w:br/>
              <w:t>APP_ENV=testing; SQLite :memory:; MAIL_MAILER=array; QUEUE_CONNECTION=sync; RefreshDatabase in module feature tests.</w:t>
            </w:r>
          </w:p>
        </w:tc>
        <w:tc>
          <w:tcPr>
            <w:tcW w:type="dxa" w:w="28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Passed: 29 tests, 189 assertions, 839 ms.</w:t>
            </w:r>
          </w:p>
        </w:tc>
      </w:tr>
      <w:tr>
        <w:trPr>
          <w:cantSplit/>
        </w:trP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Frontend Node suite</w:t>
            </w:r>
          </w:p>
        </w:tc>
        <w:tc>
          <w:tcPr>
            <w:tcW w:type="dxa" w:w="5328"/>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cd frontend &amp;&amp; npm test</w:t>
              <w:br/>
              <w:t>Node built in test runner; API transport test uses a temporary 127.0.0.1 HTTP listener.</w:t>
            </w:r>
          </w:p>
        </w:tc>
        <w:tc>
          <w:tcPr>
            <w:tcW w:type="dxa" w:w="2808"/>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Passed: 6 tests, 115.6 ms.</w:t>
            </w:r>
          </w:p>
        </w:tc>
      </w:tr>
      <w:tr>
        <w:trPr>
          <w:cantSplit/>
        </w:trPr>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Frontend build</w:t>
            </w:r>
          </w:p>
        </w:tc>
        <w:tc>
          <w:tcPr>
            <w:tcW w:type="dxa" w:w="53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cd frontend &amp;&amp; npm run build</w:t>
              <w:br/>
              <w:t>Vite production compilation.</w:t>
            </w:r>
          </w:p>
        </w:tc>
        <w:tc>
          <w:tcPr>
            <w:tcW w:type="dxa" w:w="28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Passed: 1 build, 598 ms.</w:t>
            </w:r>
          </w:p>
        </w:tc>
      </w:tr>
    </w:tbl>
    <w:p>
      <w:pPr>
        <w:spacing w:after="40"/>
      </w:pPr>
    </w:p>
    <w:p>
      <w:r>
        <w:t>Execution date: 17 October 2026. Branch: main. HEAD: fc0b584. The working tree contained uncommitted frontend integration changes and the test plan. These runs are reproducible with the commands above, but the commit hash by itself is not a complete build identifier. Store CI logs, exact commit, environment and data snapshot with future formal evidence.</w:t>
      </w:r>
    </w:p>
    <w:p>
      <w:r>
        <w:t>The frontend Node integration test uses a controlled loopback server; it does not run Laravel. Laravel feature tests exercise real routes against SQLite in memory. No persisted Playwright trace, screenshot set, Lighthouse report, MySQL concurrency run, or reviewer signed acceptance record was produced in this execution.</w:t>
      </w:r>
    </w:p>
    <w:p>
      <w:pPr>
        <w:pStyle w:val="Heading1"/>
        <w:keepNext/>
      </w:pPr>
      <w:r>
        <w:t>9 Case record and traceability</w:t>
      </w:r>
    </w:p>
    <w:p>
      <w:r>
        <w:t>Use one record per execution. Keep definition and observed result separate. Allowed status values are Planned, Blocked, Passed, Failed, and Skipped with a reason.</w:t>
      </w:r>
    </w:p>
    <w:tbl>
      <w:tblPr>
        <w:tblW w:type="auto" w:w="0"/>
        <w:tblLayout w:type="fixed"/>
        <w:tblLook w:firstColumn="1" w:firstRow="1" w:lastColumn="0" w:lastRow="0" w:noHBand="0" w:noVBand="1" w:val="04A0"/>
      </w:tblPr>
      <w:tblGrid>
        <w:gridCol w:w="1944"/>
        <w:gridCol w:w="7992"/>
      </w:tblGrid>
      <w:tr>
        <w:trPr>
          <w:tblHeader w:val="true"/>
          <w:cantSplit/>
        </w:trPr>
        <w:tc>
          <w:tcPr>
            <w:tcW w:type="dxa" w:w="1944"/>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Field</w:t>
            </w:r>
          </w:p>
        </w:tc>
        <w:tc>
          <w:tcPr>
            <w:tcW w:type="dxa" w:w="7992"/>
            <w:vAlign w:val="center"/>
            <w:tcBorders>
              <w:top w:val="single" w:sz="4" w:color="D9D9D9"/>
              <w:left w:val="single" w:sz="4" w:color="D9D9D9"/>
              <w:bottom w:val="single" w:sz="4" w:color="D9D9D9"/>
              <w:right w:val="single" w:sz="4" w:color="D9D9D9"/>
            </w:tcBorders>
            <w:shd w:fill="20324B"/>
            <w:tcMar>
              <w:top w:w="95" w:type="dxa"/>
              <w:left w:w="95" w:type="dxa"/>
              <w:bottom w:w="95" w:type="dxa"/>
              <w:right w:w="95" w:type="dxa"/>
            </w:tcMar>
          </w:tcPr>
          <w:p>
            <w:pPr>
              <w:spacing w:after="0" w:before="0" w:line="271" w:lineRule="auto"/>
            </w:pPr>
            <w:r>
              <w:rPr>
                <w:b/>
                <w:color w:val="FFFFFF"/>
                <w:sz w:val="17"/>
              </w:rPr>
              <w:t>Record</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Identification</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Test ID; FR ID; all linked AC IDs; level; priority.</w:t>
            </w:r>
          </w:p>
        </w:tc>
      </w:tr>
      <w:tr>
        <w:trPr>
          <w:cantSplit/>
        </w:trP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Setup</w:t>
            </w:r>
          </w:p>
        </w:tc>
        <w:tc>
          <w:tcPr>
            <w:tcW w:type="dxa" w:w="79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Preconditions and synthetic data; actor and organization; build and environment.</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Execution</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Steps; expected result; automation path; run date; actual result.</w:t>
            </w:r>
          </w:p>
        </w:tc>
      </w:tr>
      <w:tr>
        <w:trPr>
          <w:cantSplit/>
        </w:trP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Evidence</w:t>
            </w:r>
          </w:p>
        </w:tc>
        <w:tc>
          <w:tcPr>
            <w:tcW w:type="dxa" w:w="79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0" w:before="0" w:line="271" w:lineRule="auto"/>
            </w:pPr>
            <w:r>
              <w:rPr>
                <w:color w:val="202830"/>
                <w:sz w:val="17"/>
              </w:rPr>
              <w:t>Log/report path, API/database assertion, screenshot or trace, defect ID.</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Disposition</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before="0" w:line="271" w:lineRule="auto"/>
            </w:pPr>
            <w:r>
              <w:rPr>
                <w:color w:val="202830"/>
                <w:sz w:val="17"/>
              </w:rPr>
              <w:t>Status; reviewer and sign off where acceptance applies.</w:t>
            </w:r>
          </w:p>
        </w:tc>
      </w:tr>
    </w:tbl>
    <w:p>
      <w:pPr>
        <w:spacing w:after="40"/>
      </w:pPr>
    </w:p>
    <w:p>
      <w:r>
        <w:t>The RTM Planned Test IDs column records intent. Component Test, Integration Test, System Test, and Acceptance Test columns record executed evidence only. When an FR or AC changes, update its cases and IDs before implementation, then record the new run and any defect. Report AC coverage as ACs passed divided by ACs applicable, and automated coverage as cases passed divided by cases run. Current suite counts are not either of those percentages.</w:t>
      </w:r>
    </w:p>
    <w:p>
      <w:pPr>
        <w:pStyle w:val="Heading1"/>
        <w:keepNext/>
      </w:pPr>
      <w:r>
        <w:t>10 Release gate and next execution order</w:t>
      </w:r>
    </w:p>
    <w:p>
      <w:pPr>
        <w:pStyle w:val="ListBullet"/>
      </w:pPr>
      <w:r>
        <w:t>Every Must Have acceptance criterion is executed and passed; Should and Could outcomes are reported separately.</w:t>
      </w:r>
    </w:p>
    <w:p>
      <w:pPr>
        <w:pStyle w:val="ListBullet"/>
      </w:pPr>
      <w:r>
        <w:t>Component, integration, and system suites pass for implemented features; security and concurrency gates pass; no unresolved critical or high defect remains.</w:t>
      </w:r>
    </w:p>
    <w:p>
      <w:pPr>
        <w:pStyle w:val="ListBullet"/>
      </w:pPr>
      <w:r>
        <w:t>A product or domain reviewer signs the acceptance record with the build and data set used.</w:t>
      </w:r>
    </w:p>
    <w:p>
      <w:r>
        <w:t>Next, complete FR-01, FR-02, and FR-17 access and ownership coverage. Then add donor, donation, screening, component, and inventory checks; request, search, reservation, issue, and expiry checks with concurrent database tests; trace, report, forecast, and export checks; and finally system journeys and reviewer acceptance. As each feature lands, update its cases, execute focused and full suites, and attach evidence to the RTM.</w:t>
      </w:r>
    </w:p>
    <w:sectPr w:rsidR="00FC693F" w:rsidRPr="0006063C" w:rsidSect="00034616">
      <w:footerReference w:type="default" r:id="rId9"/>
      <w:pgSz w:w="12240" w:h="15840"/>
      <w:pgMar w:top="1066" w:right="1138" w:bottom="100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BloodBankPlatform  |  Test documentation  |  17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Aptos" w:hAnsi="Aptos"/>
      <w:color w:val="222A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