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and Comparative Analysis</w:t>
      </w:r>
    </w:p>
    <w:p>
      <w:r>
        <w:t>Blood Bank Platform | Graduation Project 1</w:t>
      </w:r>
    </w:p>
    <w:p>
      <w:pPr>
        <w:pStyle w:val="Heading1"/>
      </w:pPr>
      <w:r>
        <w:t>1. Scope</w:t>
      </w:r>
    </w:p>
    <w:p>
      <w:r>
        <w:t>This review examines four research papers and three existing systems relevant to blood donation, blood bank work, hospital requests, and demand planning. Each source is considered through its strengths, limits, and relevance to the proposed system. A comparison of their documented features appears at the end.</w:t>
      </w:r>
    </w:p>
    <w:p>
      <w:pPr>
        <w:pStyle w:val="Heading1"/>
      </w:pPr>
      <w:r>
        <w:t>2. Review of Related Work</w:t>
      </w:r>
    </w:p>
    <w:p>
      <w:pPr>
        <w:pStyle w:val="Heading2"/>
      </w:pPr>
      <w:r>
        <w:t>2.1 Rajawat et al. (2025) — Blood Bank Management System [1]</w:t>
      </w:r>
    </w:p>
    <w:p>
      <w:pPr>
        <w:keepNext/>
        <w:spacing w:after="40"/>
      </w:pPr>
      <w:r>
        <w:rPr>
          <w:b/>
        </w:rPr>
        <w:t xml:space="preserve">Strengths: </w:t>
      </w:r>
      <w:r>
        <w:t>Rajawat et al. bring donor registration, donation tracking, screening results, component inventory, hospital requests, expiry alerts, and reports into one proposed workflow. This makes the paper a useful model for describing how records pass from one bank activity to the next.</w:t>
      </w:r>
    </w:p>
    <w:p>
      <w:pPr>
        <w:keepNext/>
        <w:spacing w:after="40"/>
      </w:pPr>
      <w:r>
        <w:rPr>
          <w:b/>
        </w:rPr>
        <w:t xml:space="preserve">Limitations: </w:t>
      </w:r>
      <w:r>
        <w:t>The paper mainly presents a design and expected benefits rather than measured results from a deployed system. It places demand forecasting and multi-branch support in future work. It does not explain local work during a network outage or later synchronization.</w:t>
      </w:r>
    </w:p>
    <w:p>
      <w:pPr>
        <w:keepNext w:val="0"/>
        <w:spacing w:after="40"/>
      </w:pPr>
      <w:r>
        <w:rPr>
          <w:b/>
        </w:rPr>
        <w:t xml:space="preserve">Relevance: </w:t>
      </w:r>
      <w:r>
        <w:t>Its integrated workflow is the closest reference for the core bank operations in this project. The proposed system keeps that scope small, adds explicit roles and request rules, and treats demand forecasting and offline recording as planned current-phase features rather than future ideas.</w:t>
      </w:r>
    </w:p>
    <w:p>
      <w:pPr>
        <w:pStyle w:val="Heading2"/>
      </w:pPr>
      <w:r>
        <w:t>2.2 Shah et al. (2022) — Blood Bank Management and Inventory Control [2]</w:t>
      </w:r>
    </w:p>
    <w:p>
      <w:pPr>
        <w:keepNext/>
        <w:spacing w:after="40"/>
      </w:pPr>
      <w:r>
        <w:rPr>
          <w:b/>
        </w:rPr>
        <w:t xml:space="preserve">Strengths: </w:t>
      </w:r>
      <w:r>
        <w:t>Shah et al. propose a database linking donor details, blood bags, storage, discards, donation camps, requests, distribution, and staff records. The work shows the value of a shared data model: changes to donations, stock, and requests can be recorded consistently.</w:t>
      </w:r>
    </w:p>
    <w:p>
      <w:pPr>
        <w:keepNext/>
        <w:spacing w:after="40"/>
      </w:pPr>
      <w:r>
        <w:rPr>
          <w:b/>
        </w:rPr>
        <w:t xml:space="preserve">Limitations: </w:t>
      </w:r>
      <w:r>
        <w:t>The paper focuses on database organization and broad system functions. It does not demonstrate a detailed staff-by-staff screening and collection flow, bank-level demand prediction, offline synchronization, or a rule that selects one nearest bank with enough exact-match stock for a whole request.</w:t>
      </w:r>
    </w:p>
    <w:p>
      <w:pPr>
        <w:keepNext w:val="0"/>
        <w:spacing w:after="40"/>
      </w:pPr>
      <w:r>
        <w:rPr>
          <w:b/>
        </w:rPr>
        <w:t xml:space="preserve">Relevance: </w:t>
      </w:r>
      <w:r>
        <w:t>The database relationships help define the proposed system’s donor, donation attempt, component, disposal, and hospital request records. The graduation scope then assigns each update to a specific actor and testable action.</w:t>
      </w:r>
    </w:p>
    <w:p>
      <w:pPr>
        <w:pStyle w:val="Heading2"/>
      </w:pPr>
      <w:r>
        <w:t>2.3 Kwon et al. (2024) — Blood Demand Prediction [3]</w:t>
      </w:r>
    </w:p>
    <w:p>
      <w:pPr>
        <w:keepNext/>
        <w:spacing w:after="40"/>
      </w:pPr>
      <w:r>
        <w:rPr>
          <w:b/>
        </w:rPr>
        <w:t xml:space="preserve">Strengths: </w:t>
      </w:r>
      <w:r>
        <w:t>Kwon et al. used 247,537 transfusion records from one hospital, together with national public data, to predict demand for red cells, fresh frozen plasma, and platelets in four Rh-positive ABO groups. They compared XGBoost, LightGBM, CatBoost, and a combined model. This gives a concrete example of forecasting by component and blood group.</w:t>
      </w:r>
    </w:p>
    <w:p>
      <w:pPr>
        <w:keepNext/>
        <w:spacing w:after="40"/>
      </w:pPr>
      <w:r>
        <w:rPr>
          <w:b/>
        </w:rPr>
        <w:t xml:space="preserve">Limitations: </w:t>
      </w:r>
      <w:r>
        <w:t>The source data come from one hospital and use actual transfusions as demand observations. The proposed platform initially has bank requests and donation data, which are different measures and may be much smaller. The published models therefore cannot be assumed to work equally well for every bank or for Rh-negative groups.</w:t>
      </w:r>
    </w:p>
    <w:p>
      <w:pPr>
        <w:keepNext w:val="0"/>
        <w:spacing w:after="40"/>
      </w:pPr>
      <w:r>
        <w:rPr>
          <w:b/>
        </w:rPr>
        <w:t xml:space="preserve">Relevance: </w:t>
      </w:r>
      <w:r>
        <w:t>The project can use the paper to guide a modest forecast feature: choose a bank, component, ABO/Rh group, and period; compare a simple baseline with a learned model; save the result; and report its error when enough history exists. Forecasts support planning and do not decide whether a request is accepted.</w:t>
      </w:r>
    </w:p>
    <w:p>
      <w:pPr>
        <w:pStyle w:val="Heading2"/>
      </w:pPr>
      <w:r>
        <w:t>2.4 Anirudh, Dhanush Kumar, and Ramya (2025) — Blood Net [4]</w:t>
      </w:r>
    </w:p>
    <w:p>
      <w:pPr>
        <w:keepNext/>
        <w:spacing w:after="40"/>
      </w:pPr>
      <w:r>
        <w:rPr>
          <w:b/>
        </w:rPr>
        <w:t xml:space="preserve">Strengths: </w:t>
      </w:r>
      <w:r>
        <w:t>Blood Net describes donor registration, blood and plasma donation appointments, alerts, and searches using blood group and location. Its hospital-facing search addresses the practical problem of finding a potential donor near a patient.</w:t>
      </w:r>
    </w:p>
    <w:p>
      <w:pPr>
        <w:keepNext/>
        <w:spacing w:after="40"/>
      </w:pPr>
      <w:r>
        <w:rPr>
          <w:b/>
        </w:rPr>
        <w:t xml:space="preserve">Limitations: </w:t>
      </w:r>
      <w:r>
        <w:t>Its main match is between hospitals and donors, not between a hospital request and prepared, approved component stock. The paper does not specify full-quantity fulfilment from one bank, a local offline workflow, or demand forecasting.</w:t>
      </w:r>
    </w:p>
    <w:p>
      <w:pPr>
        <w:keepNext w:val="0"/>
        <w:spacing w:after="40"/>
      </w:pPr>
      <w:r>
        <w:rPr>
          <w:b/>
        </w:rPr>
        <w:t xml:space="preserve">Relevance: </w:t>
      </w:r>
      <w:r>
        <w:t>It helps distinguish donor discovery from the proposed request match. In this project, a hospital submits a patient-linked request; the system returns the nearest qualifying bank that has the complete exact component and ABO/Rh quantity, or “No match.”</w:t>
      </w:r>
    </w:p>
    <w:p>
      <w:pPr>
        <w:pStyle w:val="Heading2"/>
      </w:pPr>
      <w:r>
        <w:t>2.5 e-RaktKosh — Centralized Blood Bank System [5]</w:t>
      </w:r>
    </w:p>
    <w:p>
      <w:pPr>
        <w:keepNext/>
        <w:spacing w:after="40"/>
      </w:pPr>
      <w:r>
        <w:rPr>
          <w:b/>
        </w:rPr>
        <w:t xml:space="preserve">Strengths: </w:t>
      </w:r>
      <w:r>
        <w:t>India’s e-RaktKosh connects donor management, blood grouping, infection screening, component preparation, stock across many blood banks, disposal records, alerts, and reports. Its public search lets users look for available blood by location, blood group, and component. This is the broadest operational system in the review.</w:t>
      </w:r>
    </w:p>
    <w:p>
      <w:pPr>
        <w:keepNext/>
        <w:spacing w:after="40"/>
      </w:pPr>
      <w:r>
        <w:rPr>
          <w:b/>
        </w:rPr>
        <w:t xml:space="preserve">Limitations: </w:t>
      </w:r>
      <w:r>
        <w:t>Its national scope includes many functions and identity links beyond this project’s small first phase. The public availability search helps users inspect stock, but the cited material does not establish an automatic rule that returns one nearest bank able to satisfy the complete exact-match quantity. Its description also does not define how staff continue local work and reconcile records after a connection outage.</w:t>
      </w:r>
    </w:p>
    <w:p>
      <w:pPr>
        <w:keepNext w:val="0"/>
        <w:spacing w:after="40"/>
      </w:pPr>
      <w:r>
        <w:rPr>
          <w:b/>
        </w:rPr>
        <w:t xml:space="preserve">Relevance: </w:t>
      </w:r>
      <w:r>
        <w:t>It provides a real example of connected bank operations and component-level stock visibility. The proposed system adopts a narrower set of bank and hospital actions, with a specific full-quantity matching rule and an explicit offline-first design.</w:t>
      </w:r>
    </w:p>
    <w:p>
      <w:pPr>
        <w:pStyle w:val="Heading2"/>
      </w:pPr>
      <w:r>
        <w:t>2.6 BloodNet — Ordering and Inventory System [6]</w:t>
      </w:r>
    </w:p>
    <w:p>
      <w:pPr>
        <w:keepNext/>
        <w:spacing w:after="40"/>
      </w:pPr>
      <w:r>
        <w:rPr>
          <w:b/>
        </w:rPr>
        <w:t xml:space="preserve">Strengths: </w:t>
      </w:r>
      <w:r>
        <w:t>Australia’s BloodNet lets authorized facilities order blood products, record receipt, manage stock movements, report inventory, and record what happens to units, including discard. It also supports an interface with facility laboratory systems to exchange near real-time inventory data.</w:t>
      </w:r>
    </w:p>
    <w:p>
      <w:pPr>
        <w:keepNext/>
        <w:spacing w:after="40"/>
      </w:pPr>
      <w:r>
        <w:rPr>
          <w:b/>
        </w:rPr>
        <w:t xml:space="preserve">Limitations: </w:t>
      </w:r>
      <w:r>
        <w:t>BloodNet is centered on the ordering facility and product supplier. Its published scope does not cover donor intake, collection, or the earlier laboratory screening path inside a blood bank. Its documented downtime procedure is a fallback process, not a description of local-first records that later synchronize.</w:t>
      </w:r>
    </w:p>
    <w:p>
      <w:pPr>
        <w:keepNext w:val="0"/>
        <w:spacing w:after="40"/>
      </w:pPr>
      <w:r>
        <w:rPr>
          <w:b/>
        </w:rPr>
        <w:t xml:space="preserve">Relevance: </w:t>
      </w:r>
      <w:r>
        <w:t>Its order, inventory, and discard records are useful examples for the hospital and stock side of the proposed platform. The project adds the donor-to-component path and a match across candidate banks before an inventory staff member accepts a request.</w:t>
      </w:r>
    </w:p>
    <w:p>
      <w:pPr>
        <w:pStyle w:val="Heading2"/>
      </w:pPr>
      <w:r>
        <w:t>2.7 American Red Cross Blood Donor App [7]</w:t>
      </w:r>
    </w:p>
    <w:p>
      <w:pPr>
        <w:keepNext/>
        <w:spacing w:after="40"/>
      </w:pPr>
      <w:r>
        <w:rPr>
          <w:b/>
        </w:rPr>
        <w:t xml:space="preserve">Strengths: </w:t>
      </w:r>
      <w:r>
        <w:t>The Blood Donor App helps donors find nearby drives, schedule or change appointments, view donation history and mini-health results, and follow a donation’s journey toward a hospital. These features make donor participation easier and give donors clear feedback after donation.</w:t>
      </w:r>
    </w:p>
    <w:p>
      <w:pPr>
        <w:keepNext/>
        <w:spacing w:after="40"/>
      </w:pPr>
      <w:r>
        <w:rPr>
          <w:b/>
        </w:rPr>
        <w:t xml:space="preserve">Limitations: </w:t>
      </w:r>
      <w:r>
        <w:t>It is a donor-facing service. Its published features do not describe bank staff recording screening decisions, managing approved component stock, or handling hospital component requests. Its nearby search locates donation sites rather than matching a hospital to a supplying bank.</w:t>
      </w:r>
    </w:p>
    <w:p>
      <w:pPr>
        <w:keepNext w:val="0"/>
        <w:spacing w:after="40"/>
      </w:pPr>
      <w:r>
        <w:rPr>
          <w:b/>
        </w:rPr>
        <w:t xml:space="preserve">Relevance: </w:t>
      </w:r>
      <w:r>
        <w:t>The app supports the value of clear donor records and history. The current project keeps intake with reception staff and concentrates on internal bank operations and hospital requests rather than donor appointment or engagement tools.</w:t>
      </w:r>
    </w:p>
    <w:p>
      <w:pPr>
        <w:pStyle w:val="Heading1"/>
      </w:pPr>
      <w:r>
        <w:t>3. Synthesis for the Proposed System</w:t>
      </w:r>
    </w:p>
    <w:p>
      <w:r>
        <w:t>The papers and systems cover different parts of the service chain. Rajawat et al., Shah et al., and e-RaktKosh describe bank records and operations. BloodNet focuses on facility orders and inventory. Blood Net and the Red Cross app focus on donors, while Kwon et al. study forecasting. Together they support a focused platform that links several banks and hospitals while keeping each staff action clear.</w:t>
      </w:r>
    </w:p>
    <w:p>
      <w:r>
        <w:t>For Graduation Project 1, the planned flow starts with staff and organization registration, donor profiles, donation attempts, eligibility decisions, collection, component preparation, and laboratory approval or rejection. Hospital staff then submit a patient-linked component request and view the match result; inventory staff accept a pending request. Bank administrators generate reports and demand forecasts, while inventory staff receive expiry notices and record physical disposal. The offline-first design records permitted local work during an outage and synchronizes it later. A cross-bank result must be marked as dependent on current synchronized stock; disconnected banks cannot be presented as certainly available.</w:t>
      </w:r>
    </w:p>
    <w:p>
      <w:r>
        <w:t>The forecast uses each bank’s request history as a practical demand signal and donation history as supply context. That differs from Kwon et al.’s transfusion-based target, so the project should explain the data it actually predicts and test accuracy against held-out local history. Image-based blood-smear analysis belongs to the later graduation phase and is outside this comparison.</w:t>
      </w:r>
    </w:p>
    <w:p>
      <w:r>
        <w:br w:type="page"/>
      </w:r>
    </w:p>
    <w:p>
      <w:pPr>
        <w:pStyle w:val="Heading1"/>
      </w:pPr>
      <w:r>
        <w:t>4. Comparative Analysis</w:t>
      </w:r>
    </w:p>
    <w:p>
      <w:r>
        <w:t>Table 1 uses Yes for a feature included in the described work, No when it is outside that work’s stated scope, and Not Stated when the source gives too little detail to decide. A feature placed in future work is No for the current system described in the source. The final row shows planned Graduation Project 1 features, not evaluated results.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498"/>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System / study</w:t>
            </w:r>
          </w:p>
        </w:tc>
        <w:tc>
          <w:tcPr>
            <w:tcW w:type="dxa" w:w="907"/>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Donor registration</w:t>
            </w:r>
          </w:p>
        </w:tc>
        <w:tc>
          <w:tcPr>
            <w:tcW w:type="dxa" w:w="1037"/>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Staff donation and lab flow</w:t>
            </w:r>
          </w:p>
        </w:tc>
        <w:tc>
          <w:tcPr>
            <w:tcW w:type="dxa" w:w="979"/>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Component stock</w:t>
            </w:r>
          </w:p>
        </w:tc>
        <w:tc>
          <w:tcPr>
            <w:tcW w:type="dxa" w:w="1037"/>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Hospital component request</w:t>
            </w:r>
          </w:p>
        </w:tc>
        <w:tc>
          <w:tcPr>
            <w:tcW w:type="dxa" w:w="1008"/>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Donor location match</w:t>
            </w:r>
          </w:p>
        </w:tc>
        <w:tc>
          <w:tcPr>
            <w:tcW w:type="dxa" w:w="1152"/>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Nearest bank: full exact match</w:t>
            </w:r>
          </w:p>
        </w:tc>
        <w:tc>
          <w:tcPr>
            <w:tcW w:type="dxa" w:w="936"/>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Demand forecast</w:t>
            </w:r>
          </w:p>
        </w:tc>
        <w:tc>
          <w:tcPr>
            <w:tcW w:type="dxa" w:w="1123"/>
            <w:shd w:fill="DDE8F1"/>
            <w:tcBorders>
              <w:top w:val="single" w:sz="4" w:color="CCD4DB"/>
              <w:left w:val="single" w:sz="4" w:color="CCD4DB"/>
              <w:bottom w:val="single" w:sz="4" w:color="CCD4DB"/>
              <w:right w:val="single" w:sz="4" w:color="CCD4DB"/>
            </w:tcBorders>
            <w:vAlign w:val="center"/>
          </w:tcPr>
          <w:p>
            <w:pPr>
              <w:spacing w:after="0" w:line="245" w:lineRule="auto"/>
            </w:pPr>
            <w:r>
              <w:rPr>
                <w:sz w:val="15"/>
              </w:rPr>
              <w:t>Offline and sync</w:t>
            </w:r>
          </w:p>
        </w:tc>
      </w:tr>
      <w:tr>
        <w:trPr>
          <w:cantSplit/>
        </w:trPr>
        <w:tc>
          <w:tcPr>
            <w:tcW w:type="dxa" w:w="1498"/>
            <w:tcBorders>
              <w:top w:val="single" w:sz="4" w:color="CCD4DB"/>
              <w:left w:val="single" w:sz="4" w:color="CCD4DB"/>
              <w:bottom w:val="single" w:sz="4" w:color="CCD4DB"/>
              <w:right w:val="single" w:sz="4" w:color="CCD4DB"/>
            </w:tcBorders>
            <w:vAlign w:val="center"/>
          </w:tcPr>
          <w:p>
            <w:pPr>
              <w:spacing w:after="0" w:line="245" w:lineRule="auto"/>
            </w:pPr>
            <w:r>
              <w:rPr>
                <w:sz w:val="15"/>
              </w:rPr>
              <w:t>Rajawat et al. [1]</w:t>
            </w:r>
          </w:p>
        </w:tc>
        <w:tc>
          <w:tcPr>
            <w:tcW w:type="dxa" w:w="907"/>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979"/>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008"/>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c>
          <w:tcPr>
            <w:tcW w:type="dxa" w:w="936"/>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123"/>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r>
      <w:tr>
        <w:trPr>
          <w:cantSplit/>
        </w:trPr>
        <w:tc>
          <w:tcPr>
            <w:tcW w:type="dxa" w:w="1498"/>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Shah et al. [2]</w:t>
            </w:r>
          </w:p>
        </w:tc>
        <w:tc>
          <w:tcPr>
            <w:tcW w:type="dxa" w:w="90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979"/>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008"/>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Not Stated</w:t>
            </w:r>
          </w:p>
        </w:tc>
        <w:tc>
          <w:tcPr>
            <w:tcW w:type="dxa" w:w="936"/>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123"/>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Not Stated</w:t>
            </w:r>
          </w:p>
        </w:tc>
      </w:tr>
      <w:tr>
        <w:trPr>
          <w:cantSplit/>
        </w:trPr>
        <w:tc>
          <w:tcPr>
            <w:tcW w:type="dxa" w:w="1498"/>
            <w:tcBorders>
              <w:top w:val="single" w:sz="4" w:color="CCD4DB"/>
              <w:left w:val="single" w:sz="4" w:color="CCD4DB"/>
              <w:bottom w:val="single" w:sz="4" w:color="CCD4DB"/>
              <w:right w:val="single" w:sz="4" w:color="CCD4DB"/>
            </w:tcBorders>
            <w:vAlign w:val="center"/>
          </w:tcPr>
          <w:p>
            <w:pPr>
              <w:spacing w:after="0" w:line="245" w:lineRule="auto"/>
            </w:pPr>
            <w:r>
              <w:rPr>
                <w:sz w:val="15"/>
              </w:rPr>
              <w:t>Kwon et al. [3]</w:t>
            </w:r>
          </w:p>
        </w:tc>
        <w:tc>
          <w:tcPr>
            <w:tcW w:type="dxa" w:w="907"/>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979"/>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008"/>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936"/>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123"/>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r>
      <w:tr>
        <w:trPr>
          <w:cantSplit/>
        </w:trPr>
        <w:tc>
          <w:tcPr>
            <w:tcW w:type="dxa" w:w="1498"/>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Blood Net [4]</w:t>
            </w:r>
          </w:p>
        </w:tc>
        <w:tc>
          <w:tcPr>
            <w:tcW w:type="dxa" w:w="90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979"/>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Not Stated</w:t>
            </w:r>
          </w:p>
        </w:tc>
        <w:tc>
          <w:tcPr>
            <w:tcW w:type="dxa" w:w="103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008"/>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152"/>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936"/>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123"/>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Not Stated</w:t>
            </w:r>
          </w:p>
        </w:tc>
      </w:tr>
      <w:tr>
        <w:trPr>
          <w:cantSplit/>
        </w:trPr>
        <w:tc>
          <w:tcPr>
            <w:tcW w:type="dxa" w:w="1498"/>
            <w:tcBorders>
              <w:top w:val="single" w:sz="4" w:color="CCD4DB"/>
              <w:left w:val="single" w:sz="4" w:color="CCD4DB"/>
              <w:bottom w:val="single" w:sz="4" w:color="CCD4DB"/>
              <w:right w:val="single" w:sz="4" w:color="CCD4DB"/>
            </w:tcBorders>
            <w:vAlign w:val="center"/>
          </w:tcPr>
          <w:p>
            <w:pPr>
              <w:spacing w:after="0" w:line="245" w:lineRule="auto"/>
            </w:pPr>
            <w:r>
              <w:rPr>
                <w:sz w:val="15"/>
              </w:rPr>
              <w:t>e-RaktKosh [5]</w:t>
            </w:r>
          </w:p>
        </w:tc>
        <w:tc>
          <w:tcPr>
            <w:tcW w:type="dxa" w:w="907"/>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979"/>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c>
          <w:tcPr>
            <w:tcW w:type="dxa" w:w="1008"/>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c>
          <w:tcPr>
            <w:tcW w:type="dxa" w:w="936"/>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c>
          <w:tcPr>
            <w:tcW w:type="dxa" w:w="1123"/>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r>
      <w:tr>
        <w:trPr>
          <w:cantSplit/>
        </w:trPr>
        <w:tc>
          <w:tcPr>
            <w:tcW w:type="dxa" w:w="1498"/>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BloodNet [6]</w:t>
            </w:r>
          </w:p>
        </w:tc>
        <w:tc>
          <w:tcPr>
            <w:tcW w:type="dxa" w:w="90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03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979"/>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Yes</w:t>
            </w:r>
          </w:p>
        </w:tc>
        <w:tc>
          <w:tcPr>
            <w:tcW w:type="dxa" w:w="1008"/>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936"/>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c>
          <w:tcPr>
            <w:tcW w:type="dxa" w:w="1123"/>
            <w:tcBorders>
              <w:top w:val="single" w:sz="4" w:color="CCD4DB"/>
              <w:left w:val="single" w:sz="4" w:color="CCD4DB"/>
              <w:bottom w:val="single" w:sz="4" w:color="CCD4DB"/>
              <w:right w:val="single" w:sz="4" w:color="CCD4DB"/>
            </w:tcBorders>
            <w:shd w:fill="F5F7F8"/>
            <w:vAlign w:val="center"/>
          </w:tcPr>
          <w:p>
            <w:pPr>
              <w:spacing w:after="0" w:line="245" w:lineRule="auto"/>
            </w:pPr>
            <w:r>
              <w:rPr>
                <w:sz w:val="15"/>
              </w:rPr>
              <w:t>No</w:t>
            </w:r>
          </w:p>
        </w:tc>
      </w:tr>
      <w:tr>
        <w:trPr>
          <w:cantSplit/>
        </w:trPr>
        <w:tc>
          <w:tcPr>
            <w:tcW w:type="dxa" w:w="1498"/>
            <w:tcBorders>
              <w:top w:val="single" w:sz="4" w:color="CCD4DB"/>
              <w:left w:val="single" w:sz="4" w:color="CCD4DB"/>
              <w:bottom w:val="single" w:sz="4" w:color="CCD4DB"/>
              <w:right w:val="single" w:sz="4" w:color="CCD4DB"/>
            </w:tcBorders>
            <w:vAlign w:val="center"/>
          </w:tcPr>
          <w:p>
            <w:pPr>
              <w:spacing w:after="0" w:line="245" w:lineRule="auto"/>
            </w:pPr>
            <w:r>
              <w:rPr>
                <w:sz w:val="15"/>
              </w:rPr>
              <w:t>Red Cross Donor App [7]</w:t>
            </w:r>
          </w:p>
        </w:tc>
        <w:tc>
          <w:tcPr>
            <w:tcW w:type="dxa" w:w="907"/>
            <w:tcBorders>
              <w:top w:val="single" w:sz="4" w:color="CCD4DB"/>
              <w:left w:val="single" w:sz="4" w:color="CCD4DB"/>
              <w:bottom w:val="single" w:sz="4" w:color="CCD4DB"/>
              <w:right w:val="single" w:sz="4" w:color="CCD4DB"/>
            </w:tcBorders>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979"/>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037"/>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008"/>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936"/>
            <w:tcBorders>
              <w:top w:val="single" w:sz="4" w:color="CCD4DB"/>
              <w:left w:val="single" w:sz="4" w:color="CCD4DB"/>
              <w:bottom w:val="single" w:sz="4" w:color="CCD4DB"/>
              <w:right w:val="single" w:sz="4" w:color="CCD4DB"/>
            </w:tcBorders>
            <w:vAlign w:val="center"/>
          </w:tcPr>
          <w:p>
            <w:pPr>
              <w:spacing w:after="0" w:line="245" w:lineRule="auto"/>
            </w:pPr>
            <w:r>
              <w:rPr>
                <w:sz w:val="15"/>
              </w:rPr>
              <w:t>No</w:t>
            </w:r>
          </w:p>
        </w:tc>
        <w:tc>
          <w:tcPr>
            <w:tcW w:type="dxa" w:w="1123"/>
            <w:tcBorders>
              <w:top w:val="single" w:sz="4" w:color="CCD4DB"/>
              <w:left w:val="single" w:sz="4" w:color="CCD4DB"/>
              <w:bottom w:val="single" w:sz="4" w:color="CCD4DB"/>
              <w:right w:val="single" w:sz="4" w:color="CCD4DB"/>
            </w:tcBorders>
            <w:vAlign w:val="center"/>
          </w:tcPr>
          <w:p>
            <w:pPr>
              <w:spacing w:after="0" w:line="245" w:lineRule="auto"/>
            </w:pPr>
            <w:r>
              <w:rPr>
                <w:sz w:val="15"/>
              </w:rPr>
              <w:t>Not Stated</w:t>
            </w:r>
          </w:p>
        </w:tc>
      </w:tr>
      <w:tr>
        <w:trPr>
          <w:cantSplit/>
        </w:trPr>
        <w:tc>
          <w:tcPr>
            <w:tcW w:type="dxa" w:w="1498"/>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Proposed system (Grad 1)</w:t>
            </w:r>
          </w:p>
        </w:tc>
        <w:tc>
          <w:tcPr>
            <w:tcW w:type="dxa" w:w="907"/>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c>
          <w:tcPr>
            <w:tcW w:type="dxa" w:w="979"/>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c>
          <w:tcPr>
            <w:tcW w:type="dxa" w:w="1037"/>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c>
          <w:tcPr>
            <w:tcW w:type="dxa" w:w="1008"/>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No</w:t>
            </w:r>
          </w:p>
        </w:tc>
        <w:tc>
          <w:tcPr>
            <w:tcW w:type="dxa" w:w="1152"/>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c>
          <w:tcPr>
            <w:tcW w:type="dxa" w:w="936"/>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c>
          <w:tcPr>
            <w:tcW w:type="dxa" w:w="1123"/>
            <w:tcBorders>
              <w:top w:val="single" w:sz="4" w:color="CCD4DB"/>
              <w:left w:val="single" w:sz="4" w:color="CCD4DB"/>
              <w:bottom w:val="single" w:sz="4" w:color="CCD4DB"/>
              <w:right w:val="single" w:sz="4" w:color="CCD4DB"/>
            </w:tcBorders>
            <w:shd w:fill="EAF3E8"/>
            <w:vAlign w:val="center"/>
          </w:tcPr>
          <w:p>
            <w:pPr>
              <w:spacing w:after="0" w:line="245" w:lineRule="auto"/>
            </w:pPr>
            <w:r>
              <w:rPr>
                <w:sz w:val="15"/>
              </w:rPr>
              <w:t>Yes</w:t>
            </w:r>
          </w:p>
        </w:tc>
      </w:tr>
    </w:tbl>
    <w:p>
      <w:pPr>
        <w:pStyle w:val="Heading1"/>
      </w:pPr>
      <w:r>
        <w:t>References</w:t>
      </w:r>
    </w:p>
    <w:p>
      <w:pPr>
        <w:spacing w:after="80"/>
        <w:ind w:left="331" w:hanging="331"/>
      </w:pPr>
      <w:r>
        <w:rPr>
          <w:sz w:val="16"/>
        </w:rPr>
        <w:t>[1] Rajawat, A. S., Gupta, H. K., Rashid, A., Hussain, S., &amp; Pagar, N. (2025). Blood Bank Management System. International Journal of Progressive Research in Engineering Management and Science, 5(11), 972–980. https://www.ijprems.com/uploadedfiles/paper/issue_11_november_2025/44808/final/fin_ijprems1763535970.pdf</w:t>
      </w:r>
    </w:p>
    <w:p>
      <w:pPr>
        <w:spacing w:after="80"/>
        <w:ind w:left="331" w:hanging="331"/>
      </w:pPr>
      <w:r>
        <w:rPr>
          <w:sz w:val="16"/>
        </w:rPr>
        <w:t>[2] Shah, A., Shah, D., Shah, D., Chordiya, D., Doshi, N., &amp; Dwivedi, R. (2022). Blood Bank Management and Inventory Control Database Management System. Procedia Computer Science, 198, 404–409. https://doi.org/10.1016/j.procs.2021.12.261</w:t>
      </w:r>
    </w:p>
    <w:p>
      <w:pPr>
        <w:spacing w:after="80"/>
        <w:ind w:left="331" w:hanging="331"/>
      </w:pPr>
      <w:r>
        <w:rPr>
          <w:sz w:val="16"/>
        </w:rPr>
        <w:t>[3] Kwon, H. J., Park, S., Park, Y. H., Baik, S. M., &amp; Park, D. J. (2024). Development of blood demand prediction model using artificial intelligence based on national public big data. Digital Health, 10. https://doi.org/10.1177/20552076231224245</w:t>
      </w:r>
    </w:p>
    <w:p>
      <w:pPr>
        <w:spacing w:after="80"/>
        <w:ind w:left="331" w:hanging="331"/>
      </w:pPr>
      <w:r>
        <w:rPr>
          <w:sz w:val="16"/>
        </w:rPr>
        <w:t>[4] Anirudh, N., Dhanush Kumar, R., &amp; Ramya, M. (2025). Blood Net: Linking Hospital with Donors. ICRDICCT, 840–849. https://doi.org/10.5220/0013921600004919</w:t>
      </w:r>
    </w:p>
    <w:p>
      <w:pPr>
        <w:spacing w:after="80"/>
        <w:ind w:left="331" w:hanging="331"/>
      </w:pPr>
      <w:r>
        <w:rPr>
          <w:sz w:val="16"/>
        </w:rPr>
        <w:t>[5] e-RaktKosh. (n.d.). About e-RaktKosh and blood availability search. https://eraktkosh.mohfw.gov.in/BLDAHIMS/bloodbank/about.cnt ; https://eraktkosh.mohfw.gov.in/</w:t>
      </w:r>
    </w:p>
    <w:p>
      <w:pPr>
        <w:spacing w:after="80"/>
        <w:ind w:left="331" w:hanging="331"/>
      </w:pPr>
      <w:r>
        <w:rPr>
          <w:sz w:val="16"/>
        </w:rPr>
        <w:t>[6] National Blood Authority. (n.d.). BloodNet for blood products from Lifeblood; BloodNet user tips and support materials. https://www.blood.gov.au/blood-products/access-and-ordering/bloodnet-blood-products-lifeblood ; https://www.blood.gov.au/bloodnet-user-tips-and-support-materials</w:t>
      </w:r>
    </w:p>
    <w:p>
      <w:pPr>
        <w:spacing w:after="80"/>
        <w:ind w:left="331" w:hanging="331"/>
      </w:pPr>
      <w:r>
        <w:rPr>
          <w:sz w:val="16"/>
        </w:rPr>
        <w:t>[7] American Red Cross. (n.d.). Blood Donor App. https://www.redcrossblood.org/blood-donor-app.html</w:t>
      </w:r>
    </w:p>
    <w:sectPr w:rsidR="00FC693F" w:rsidRPr="0006063C" w:rsidSect="00034616">
      <w:footerReference w:type="default" r:id="rId9"/>
      <w:pgSz w:w="12240" w:h="15840"/>
      <w:pgMar w:top="864"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Blood Bank Platform  •  Literature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1C364E"/>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1C364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b/>
      <w:color w:val="1C364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