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Georgia" w:cs="Georgia" w:eastAsia="Georgia" w:hAnsi="Georgia"/>
          <w:b/>
          <w:bCs/>
          <w:color w:val="092B49"/>
          <w:sz w:val="44"/>
          <w:szCs w:val="44"/>
        </w:rPr>
        <w:t xml:space="preserve">TITANOS</w:t>
      </w:r>
    </w:p>
    <w:p>
      <w:pPr>
        <w:spacing w:after="40"/>
        <w:jc w:val="center"/>
      </w:pPr>
      <w:r>
        <w:rPr>
          <w:rFonts w:ascii="Calibri" w:cs="Calibri" w:eastAsia="Calibri" w:hAnsi="Calibri"/>
          <w:b/>
          <w:bCs/>
          <w:color w:val="CEB684"/>
          <w:sz w:val="15"/>
          <w:szCs w:val="15"/>
        </w:rPr>
        <w:t xml:space="preserve">P R I V A T E   W E A L T H   O P E R A T I N G   S Y S T E M</w:t>
      </w:r>
    </w:p>
    <w:p>
      <w:pPr>
        <w:pBdr>
          <w:top w:val="single" w:color="CEB684" w:sz="6"/>
        </w:pBdr>
        <w:spacing w:after="0" w:before="200"/>
        <w:jc w:val="center"/>
      </w:pPr>
      <w:r>
        <w:rPr>
          <w:rFonts w:ascii="Georgia" w:cs="Georgia" w:eastAsia="Georgia" w:hAnsi="Georgia"/>
          <w:b/>
          <w:bCs/>
          <w:color w:val="092B49"/>
          <w:sz w:val="31"/>
          <w:szCs w:val="31"/>
        </w:rPr>
        <w:t xml:space="preserve">Platform Handbook</w:t>
      </w:r>
    </w:p>
    <w:p>
      <w:pPr>
        <w:spacing w:after="110"/>
        <w:jc w:val="center"/>
      </w:pPr>
      <w:r>
        <w:rPr>
          <w:rFonts w:ascii="Calibri" w:cs="Calibri" w:eastAsia="Calibri" w:hAnsi="Calibri"/>
          <w:color w:val="5A6E84"/>
          <w:sz w:val="18"/>
          <w:szCs w:val="18"/>
        </w:rPr>
        <w:t xml:space="preserve">For adviser teams</w:t>
      </w:r>
    </w:p>
    <w:p>
      <w:pPr>
        <w:spacing w:after="70" w:before="0"/>
      </w:pPr>
      <w:r>
        <w:rPr>
          <w:rFonts w:ascii="Calibri" w:cs="Calibri" w:eastAsia="Calibri" w:hAnsi="Calibri"/>
          <w:color w:val="1E293B"/>
          <w:sz w:val="20"/>
          <w:szCs w:val="20"/>
        </w:rPr>
        <w:t xml:space="preserve">This handbook covers what the platform does and how your team uses it, area by area. It is written to be issued to your advisers as it stands, or reissued under your own firm's name and brand.</w:t>
      </w:r>
    </w:p>
    <w:p>
      <w:pPr>
        <w:spacing w:after="70" w:before="0"/>
      </w:pPr>
      <w:r>
        <w:rPr>
          <w:rFonts w:ascii="Calibri" w:cs="Calibri" w:eastAsia="Calibri" w:hAnsi="Calibri"/>
          <w:color w:val="1E293B"/>
          <w:sz w:val="20"/>
          <w:szCs w:val="20"/>
        </w:rPr>
        <w:t xml:space="preserve">Two themes run through all of it. The platform will not send anything without one of your people approving it, and it will not present a figure it cannot support. Where it cannot establish something it says so rather than filling the gap.</w:t>
      </w:r>
    </w:p>
    <w:p>
      <w:pPr>
        <w:spacing w:after="70" w:before="0"/>
      </w:pPr>
      <w:r>
        <w:rPr>
          <w:rFonts w:ascii="Calibri" w:cs="Calibri" w:eastAsia="Calibri" w:hAnsi="Calibri"/>
          <w:i/>
          <w:iCs/>
          <w:color w:val="5A6E84"/>
          <w:sz w:val="18"/>
          <w:szCs w:val="18"/>
        </w:rPr>
        <w:t xml:space="preserve">Revised 28 July 2026.</w:t>
      </w:r>
    </w:p>
    <w:p>
      <w:pPr>
        <w:keepNext/>
        <w:pBdr>
          <w:bottom w:val="single" w:color="CEB684" w:sz="8"/>
        </w:pBdr>
        <w:spacing w:after="70" w:before="190"/>
      </w:pPr>
      <w:r>
        <w:rPr>
          <w:rFonts w:ascii="Georgia" w:cs="Georgia" w:eastAsia="Georgia" w:hAnsi="Georgia"/>
          <w:b/>
          <w:bCs/>
          <w:color w:val="092B49"/>
          <w:sz w:val="25"/>
          <w:szCs w:val="25"/>
        </w:rPr>
        <w:t xml:space="preserve">Contents</w:t>
      </w:r>
    </w:p>
    <w:p>
      <w:pPr>
        <w:spacing w:after="60" w:before="0"/>
      </w:pPr>
      <w:r>
        <w:rPr>
          <w:rFonts w:ascii="Calibri" w:cs="Calibri" w:eastAsia="Calibri" w:hAnsi="Calibri"/>
          <w:color w:val="5A6E84"/>
          <w:sz w:val="19"/>
          <w:szCs w:val="19"/>
        </w:rPr>
        <w:t xml:space="preserve">14 areas of the platform.</w:t>
      </w:r>
    </w:p>
    <w:p>
      <w:pPr>
        <w:spacing w:after="22"/>
        <w:ind w:left="200" w:hanging="200"/>
      </w:pPr>
      <w:r>
        <w:rPr>
          <w:rFonts w:ascii="Calibri" w:cs="Calibri" w:eastAsia="Calibri" w:hAnsi="Calibri"/>
          <w:b/>
          <w:bCs/>
          <w:color w:val="CEB684"/>
          <w:sz w:val="19"/>
          <w:szCs w:val="19"/>
        </w:rPr>
        <w:t xml:space="preserve"> 1   </w:t>
      </w:r>
      <w:r>
        <w:rPr>
          <w:rFonts w:ascii="Calibri" w:cs="Calibri" w:eastAsia="Calibri" w:hAnsi="Calibri"/>
          <w:color w:val="1E293B"/>
          <w:sz w:val="20"/>
          <w:szCs w:val="20"/>
        </w:rPr>
        <w:t xml:space="preserve">Roles and what each can do</w:t>
      </w:r>
    </w:p>
    <w:p>
      <w:pPr>
        <w:spacing w:after="22"/>
        <w:ind w:left="200" w:hanging="200"/>
      </w:pPr>
      <w:r>
        <w:rPr>
          <w:rFonts w:ascii="Calibri" w:cs="Calibri" w:eastAsia="Calibri" w:hAnsi="Calibri"/>
          <w:b/>
          <w:bCs/>
          <w:color w:val="CEB684"/>
          <w:sz w:val="19"/>
          <w:szCs w:val="19"/>
        </w:rPr>
        <w:t xml:space="preserve"> 2   </w:t>
      </w:r>
      <w:r>
        <w:rPr>
          <w:rFonts w:ascii="Calibri" w:cs="Calibri" w:eastAsia="Calibri" w:hAnsi="Calibri"/>
          <w:color w:val="1E293B"/>
          <w:sz w:val="20"/>
          <w:szCs w:val="20"/>
        </w:rPr>
        <w:t xml:space="preserve">Households and their people</w:t>
      </w:r>
    </w:p>
    <w:p>
      <w:pPr>
        <w:spacing w:after="22"/>
        <w:ind w:left="200" w:hanging="200"/>
      </w:pPr>
      <w:r>
        <w:rPr>
          <w:rFonts w:ascii="Calibri" w:cs="Calibri" w:eastAsia="Calibri" w:hAnsi="Calibri"/>
          <w:b/>
          <w:bCs/>
          <w:color w:val="CEB684"/>
          <w:sz w:val="19"/>
          <w:szCs w:val="19"/>
        </w:rPr>
        <w:t xml:space="preserve"> 3   </w:t>
      </w:r>
      <w:r>
        <w:rPr>
          <w:rFonts w:ascii="Calibri" w:cs="Calibri" w:eastAsia="Calibri" w:hAnsi="Calibri"/>
          <w:color w:val="1E293B"/>
          <w:sz w:val="20"/>
          <w:szCs w:val="20"/>
        </w:rPr>
        <w:t xml:space="preserve">Properties and the documents behind them</w:t>
      </w:r>
    </w:p>
    <w:p>
      <w:pPr>
        <w:spacing w:after="22"/>
        <w:ind w:left="200" w:hanging="200"/>
      </w:pPr>
      <w:r>
        <w:rPr>
          <w:rFonts w:ascii="Calibri" w:cs="Calibri" w:eastAsia="Calibri" w:hAnsi="Calibri"/>
          <w:b/>
          <w:bCs/>
          <w:color w:val="CEB684"/>
          <w:sz w:val="19"/>
          <w:szCs w:val="19"/>
        </w:rPr>
        <w:t xml:space="preserve"> 4   </w:t>
      </w:r>
      <w:r>
        <w:rPr>
          <w:rFonts w:ascii="Calibri" w:cs="Calibri" w:eastAsia="Calibri" w:hAnsi="Calibri"/>
          <w:color w:val="1E293B"/>
          <w:sz w:val="20"/>
          <w:szCs w:val="20"/>
        </w:rPr>
        <w:t xml:space="preserve">Portfolio accounts, statements and balances</w:t>
      </w:r>
    </w:p>
    <w:p>
      <w:pPr>
        <w:spacing w:after="22"/>
        <w:ind w:left="200" w:hanging="200"/>
      </w:pPr>
      <w:r>
        <w:rPr>
          <w:rFonts w:ascii="Calibri" w:cs="Calibri" w:eastAsia="Calibri" w:hAnsi="Calibri"/>
          <w:b/>
          <w:bCs/>
          <w:color w:val="CEB684"/>
          <w:sz w:val="19"/>
          <w:szCs w:val="19"/>
        </w:rPr>
        <w:t xml:space="preserve"> 5   </w:t>
      </w:r>
      <w:r>
        <w:rPr>
          <w:rFonts w:ascii="Calibri" w:cs="Calibri" w:eastAsia="Calibri" w:hAnsi="Calibri"/>
          <w:color w:val="1E293B"/>
          <w:sz w:val="20"/>
          <w:szCs w:val="20"/>
        </w:rPr>
        <w:t xml:space="preserve">Valuables</w:t>
      </w:r>
    </w:p>
    <w:p>
      <w:pPr>
        <w:spacing w:after="22"/>
        <w:ind w:left="200" w:hanging="200"/>
      </w:pPr>
      <w:r>
        <w:rPr>
          <w:rFonts w:ascii="Calibri" w:cs="Calibri" w:eastAsia="Calibri" w:hAnsi="Calibri"/>
          <w:b/>
          <w:bCs/>
          <w:color w:val="CEB684"/>
          <w:sz w:val="19"/>
          <w:szCs w:val="19"/>
        </w:rPr>
        <w:t xml:space="preserve"> 6   </w:t>
      </w:r>
      <w:r>
        <w:rPr>
          <w:rFonts w:ascii="Calibri" w:cs="Calibri" w:eastAsia="Calibri" w:hAnsi="Calibri"/>
          <w:color w:val="1E293B"/>
          <w:sz w:val="20"/>
          <w:szCs w:val="20"/>
        </w:rPr>
        <w:t xml:space="preserve">Cash flow</w:t>
      </w:r>
    </w:p>
    <w:p>
      <w:pPr>
        <w:spacing w:after="22"/>
        <w:ind w:left="200" w:hanging="200"/>
      </w:pPr>
      <w:r>
        <w:rPr>
          <w:rFonts w:ascii="Calibri" w:cs="Calibri" w:eastAsia="Calibri" w:hAnsi="Calibri"/>
          <w:b/>
          <w:bCs/>
          <w:color w:val="CEB684"/>
          <w:sz w:val="19"/>
          <w:szCs w:val="19"/>
        </w:rPr>
        <w:t xml:space="preserve"> 7   </w:t>
      </w:r>
      <w:r>
        <w:rPr>
          <w:rFonts w:ascii="Calibri" w:cs="Calibri" w:eastAsia="Calibri" w:hAnsi="Calibri"/>
          <w:color w:val="1E293B"/>
          <w:sz w:val="20"/>
          <w:szCs w:val="20"/>
        </w:rPr>
        <w:t xml:space="preserve">The Vault</w:t>
      </w:r>
    </w:p>
    <w:p>
      <w:pPr>
        <w:spacing w:after="22"/>
        <w:ind w:left="200" w:hanging="200"/>
      </w:pPr>
      <w:r>
        <w:rPr>
          <w:rFonts w:ascii="Calibri" w:cs="Calibri" w:eastAsia="Calibri" w:hAnsi="Calibri"/>
          <w:b/>
          <w:bCs/>
          <w:color w:val="CEB684"/>
          <w:sz w:val="19"/>
          <w:szCs w:val="19"/>
        </w:rPr>
        <w:t xml:space="preserve"> 8   </w:t>
      </w:r>
      <w:r>
        <w:rPr>
          <w:rFonts w:ascii="Calibri" w:cs="Calibri" w:eastAsia="Calibri" w:hAnsi="Calibri"/>
          <w:color w:val="1E293B"/>
          <w:sz w:val="20"/>
          <w:szCs w:val="20"/>
        </w:rPr>
        <w:t xml:space="preserve">Obligations and workflow cycles</w:t>
      </w:r>
    </w:p>
    <w:p>
      <w:pPr>
        <w:spacing w:after="22"/>
        <w:ind w:left="200" w:hanging="200"/>
      </w:pPr>
      <w:r>
        <w:rPr>
          <w:rFonts w:ascii="Calibri" w:cs="Calibri" w:eastAsia="Calibri" w:hAnsi="Calibri"/>
          <w:b/>
          <w:bCs/>
          <w:color w:val="CEB684"/>
          <w:sz w:val="19"/>
          <w:szCs w:val="19"/>
        </w:rPr>
        <w:t xml:space="preserve"> 9   </w:t>
      </w:r>
      <w:r>
        <w:rPr>
          <w:rFonts w:ascii="Calibri" w:cs="Calibri" w:eastAsia="Calibri" w:hAnsi="Calibri"/>
          <w:color w:val="1E293B"/>
          <w:sz w:val="20"/>
          <w:szCs w:val="20"/>
        </w:rPr>
        <w:t xml:space="preserve">Preparing, approving and sending correspondence</w:t>
      </w:r>
    </w:p>
    <w:p>
      <w:pPr>
        <w:spacing w:after="22"/>
        <w:ind w:left="200" w:hanging="200"/>
      </w:pPr>
      <w:r>
        <w:rPr>
          <w:rFonts w:ascii="Calibri" w:cs="Calibri" w:eastAsia="Calibri" w:hAnsi="Calibri"/>
          <w:b/>
          <w:bCs/>
          <w:color w:val="CEB684"/>
          <w:sz w:val="19"/>
          <w:szCs w:val="19"/>
        </w:rPr>
        <w:t xml:space="preserve">10   </w:t>
      </w:r>
      <w:r>
        <w:rPr>
          <w:rFonts w:ascii="Calibri" w:cs="Calibri" w:eastAsia="Calibri" w:hAnsi="Calibri"/>
          <w:color w:val="1E293B"/>
          <w:sz w:val="20"/>
          <w:szCs w:val="20"/>
        </w:rPr>
        <w:t xml:space="preserve">The assistant</w:t>
      </w:r>
    </w:p>
    <w:p>
      <w:pPr>
        <w:spacing w:after="22"/>
        <w:ind w:left="200" w:hanging="200"/>
      </w:pPr>
      <w:r>
        <w:rPr>
          <w:rFonts w:ascii="Calibri" w:cs="Calibri" w:eastAsia="Calibri" w:hAnsi="Calibri"/>
          <w:b/>
          <w:bCs/>
          <w:color w:val="CEB684"/>
          <w:sz w:val="19"/>
          <w:szCs w:val="19"/>
        </w:rPr>
        <w:t xml:space="preserve">11   </w:t>
      </w:r>
      <w:r>
        <w:rPr>
          <w:rFonts w:ascii="Calibri" w:cs="Calibri" w:eastAsia="Calibri" w:hAnsi="Calibri"/>
          <w:color w:val="1E293B"/>
          <w:sz w:val="20"/>
          <w:szCs w:val="20"/>
        </w:rPr>
        <w:t xml:space="preserve">Scheduled reports and concierge research</w:t>
      </w:r>
    </w:p>
    <w:p>
      <w:pPr>
        <w:spacing w:after="22"/>
        <w:ind w:left="200" w:hanging="200"/>
      </w:pPr>
      <w:r>
        <w:rPr>
          <w:rFonts w:ascii="Calibri" w:cs="Calibri" w:eastAsia="Calibri" w:hAnsi="Calibri"/>
          <w:b/>
          <w:bCs/>
          <w:color w:val="CEB684"/>
          <w:sz w:val="19"/>
          <w:szCs w:val="19"/>
        </w:rPr>
        <w:t xml:space="preserve">12   </w:t>
      </w:r>
      <w:r>
        <w:rPr>
          <w:rFonts w:ascii="Calibri" w:cs="Calibri" w:eastAsia="Calibri" w:hAnsi="Calibri"/>
          <w:color w:val="1E293B"/>
          <w:sz w:val="20"/>
          <w:szCs w:val="20"/>
        </w:rPr>
        <w:t xml:space="preserve">Tasks and deadlines</w:t>
      </w:r>
    </w:p>
    <w:p>
      <w:pPr>
        <w:spacing w:after="22"/>
        <w:ind w:left="200" w:hanging="200"/>
      </w:pPr>
      <w:r>
        <w:rPr>
          <w:rFonts w:ascii="Calibri" w:cs="Calibri" w:eastAsia="Calibri" w:hAnsi="Calibri"/>
          <w:b/>
          <w:bCs/>
          <w:color w:val="CEB684"/>
          <w:sz w:val="19"/>
          <w:szCs w:val="19"/>
        </w:rPr>
        <w:t xml:space="preserve">13   </w:t>
      </w:r>
      <w:r>
        <w:rPr>
          <w:rFonts w:ascii="Calibri" w:cs="Calibri" w:eastAsia="Calibri" w:hAnsi="Calibri"/>
          <w:color w:val="1E293B"/>
          <w:sz w:val="20"/>
          <w:szCs w:val="20"/>
        </w:rPr>
        <w:t xml:space="preserve">What the household sees</w:t>
      </w:r>
    </w:p>
    <w:p>
      <w:pPr>
        <w:spacing w:after="22"/>
        <w:ind w:left="200" w:hanging="200"/>
      </w:pPr>
      <w:r>
        <w:rPr>
          <w:rFonts w:ascii="Calibri" w:cs="Calibri" w:eastAsia="Calibri" w:hAnsi="Calibri"/>
          <w:b/>
          <w:bCs/>
          <w:color w:val="CEB684"/>
          <w:sz w:val="19"/>
          <w:szCs w:val="19"/>
        </w:rPr>
        <w:t xml:space="preserve">14   </w:t>
      </w:r>
      <w:r>
        <w:rPr>
          <w:rFonts w:ascii="Calibri" w:cs="Calibri" w:eastAsia="Calibri" w:hAnsi="Calibri"/>
          <w:color w:val="1E293B"/>
          <w:sz w:val="20"/>
          <w:szCs w:val="20"/>
        </w:rPr>
        <w:t xml:space="preserve">Branding and the firm's identity</w:t>
      </w:r>
    </w:p>
    <w:p>
      <w:pPr>
        <w:keepNext/>
        <w:pBdr>
          <w:bottom w:val="single" w:color="CEB684" w:sz="8"/>
        </w:pBdr>
        <w:spacing w:after="70" w:before="190"/>
      </w:pPr>
      <w:r>
        <w:rPr>
          <w:rFonts w:ascii="Georgia" w:cs="Georgia" w:eastAsia="Georgia" w:hAnsi="Georgia"/>
          <w:b/>
          <w:bCs/>
          <w:color w:val="092B49"/>
          <w:sz w:val="25"/>
          <w:szCs w:val="25"/>
        </w:rPr>
        <w:t xml:space="preserve">1.  Roles and what each can do</w:t>
      </w:r>
    </w:p>
    <w:p>
      <w:pPr>
        <w:keepNext/>
        <w:spacing w:after="30" w:before="85"/>
      </w:pPr>
      <w:r>
        <w:rPr>
          <w:rFonts w:ascii="Calibri" w:cs="Calibri" w:eastAsia="Calibri" w:hAnsi="Calibri"/>
          <w:b/>
          <w:bCs/>
          <w:caps/>
          <w:color w:val="5A6E84"/>
          <w:sz w:val="15"/>
          <w:szCs w:val="15"/>
        </w:rPr>
        <w:t xml:space="preserve">Who can reach what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7840"/>
      </w:tblGrid>
      <w:tr>
        <w:trPr>
          <w:tblHeader/>
        </w:trPr>
        <w:tc>
          <w:tcPr>
            <w:tcW w:type="dxa" w:w="2400"/>
            <w:tcBorders>
              <w:top w:val="single" w:color="D8CDB8" w:sz="4"/>
              <w:left w:val="single" w:color="D8CDB8" w:sz="4"/>
              <w:bottom w:val="single" w:color="D8CDB8" w:sz="4"/>
              <w:right w:val="single" w:color="D8CDB8" w:sz="4"/>
            </w:tcBorders>
            <w:shd w:fill="092B49" w:val="clear"/>
            <w:tcMar>
              <w:top w:type="dxa" w:w="50"/>
              <w:left w:type="dxa" w:w="100"/>
              <w:bottom w:type="dxa" w:w="50"/>
              <w:right w:type="dxa" w:w="100"/>
            </w:tcMar>
          </w:tcPr>
          <w:p>
            <w:r>
              <w:rPr>
                <w:rFonts w:ascii="Calibri" w:cs="Calibri" w:eastAsia="Calibri" w:hAnsi="Calibri"/>
                <w:b/>
                <w:bCs/>
                <w:color w:val="FFFFFF"/>
                <w:sz w:val="17"/>
                <w:szCs w:val="17"/>
              </w:rPr>
              <w:t xml:space="preserve">Role</w:t>
            </w:r>
          </w:p>
        </w:tc>
        <w:tc>
          <w:tcPr>
            <w:tcW w:type="dxa" w:w="7840"/>
            <w:tcBorders>
              <w:top w:val="single" w:color="D8CDB8" w:sz="4"/>
              <w:left w:val="single" w:color="D8CDB8" w:sz="4"/>
              <w:bottom w:val="single" w:color="D8CDB8" w:sz="4"/>
              <w:right w:val="single" w:color="D8CDB8" w:sz="4"/>
            </w:tcBorders>
            <w:shd w:fill="092B49" w:val="clear"/>
            <w:tcMar>
              <w:top w:type="dxa" w:w="50"/>
              <w:left w:type="dxa" w:w="100"/>
              <w:bottom w:type="dxa" w:w="50"/>
              <w:right w:type="dxa" w:w="100"/>
            </w:tcMar>
          </w:tcPr>
          <w:p>
            <w:r>
              <w:rPr>
                <w:rFonts w:ascii="Calibri" w:cs="Calibri" w:eastAsia="Calibri" w:hAnsi="Calibri"/>
                <w:b/>
                <w:bCs/>
                <w:color w:val="FFFFFF"/>
                <w:sz w:val="17"/>
                <w:szCs w:val="17"/>
              </w:rPr>
              <w:t xml:space="preserve">What they can reach</w:t>
            </w:r>
          </w:p>
        </w:tc>
      </w:tr>
      <w:tr>
        <w:tc>
          <w:tcPr>
            <w:tcW w:type="dxa" w:w="2400"/>
            <w:tcBorders>
              <w:top w:val="single" w:color="D8CDB8" w:sz="4"/>
              <w:left w:val="single" w:color="D8CDB8" w:sz="4"/>
              <w:bottom w:val="single" w:color="D8CDB8" w:sz="4"/>
              <w:right w:val="single" w:color="D8CDB8" w:sz="4"/>
            </w:tcBorders>
            <w:tcMar>
              <w:top w:type="dxa" w:w="48"/>
              <w:left w:type="dxa" w:w="100"/>
              <w:bottom w:type="dxa" w:w="48"/>
              <w:right w:type="dxa" w:w="100"/>
            </w:tcMar>
          </w:tcPr>
          <w:p>
            <w:pPr>
              <w:spacing w:after="0"/>
            </w:pPr>
            <w:r>
              <w:rPr>
                <w:rFonts w:ascii="Calibri" w:cs="Calibri" w:eastAsia="Calibri" w:hAnsi="Calibri"/>
                <w:b/>
                <w:bCs/>
                <w:color w:val="1E293B"/>
                <w:sz w:val="19"/>
                <w:szCs w:val="19"/>
              </w:rPr>
              <w:t xml:space="preserve">Administrator</w:t>
            </w:r>
          </w:p>
        </w:tc>
        <w:tc>
          <w:tcPr>
            <w:tcW w:type="dxa" w:w="7840"/>
            <w:tcBorders>
              <w:top w:val="single" w:color="D8CDB8" w:sz="4"/>
              <w:left w:val="single" w:color="D8CDB8" w:sz="4"/>
              <w:bottom w:val="single" w:color="D8CDB8" w:sz="4"/>
              <w:right w:val="single" w:color="D8CDB8" w:sz="4"/>
            </w:tcBorders>
            <w:tcMar>
              <w:top w:type="dxa" w:w="48"/>
              <w:left w:type="dxa" w:w="100"/>
              <w:bottom w:type="dxa" w:w="48"/>
              <w:right w:type="dxa" w:w="100"/>
            </w:tcMar>
          </w:tcPr>
          <w:p>
            <w:pPr>
              <w:spacing w:after="0"/>
            </w:pPr>
            <w:r>
              <w:rPr>
                <w:rFonts w:ascii="Calibri" w:cs="Calibri" w:eastAsia="Calibri" w:hAnsi="Calibri"/>
                <w:color w:val="1E293B"/>
                <w:sz w:val="19"/>
                <w:szCs w:val="19"/>
              </w:rPr>
              <w:t xml:space="preserve">Everything in the firm, including users, branding and the playbook library.</w:t>
            </w:r>
          </w:p>
        </w:tc>
      </w:tr>
      <w:tr>
        <w:tc>
          <w:tcPr>
            <w:tcW w:type="dxa" w:w="2400"/>
            <w:tcBorders>
              <w:top w:val="single" w:color="D8CDB8" w:sz="4"/>
              <w:left w:val="single" w:color="D8CDB8" w:sz="4"/>
              <w:bottom w:val="single" w:color="D8CDB8" w:sz="4"/>
              <w:right w:val="single" w:color="D8CDB8" w:sz="4"/>
            </w:tcBorders>
            <w:tcMar>
              <w:top w:type="dxa" w:w="48"/>
              <w:left w:type="dxa" w:w="100"/>
              <w:bottom w:type="dxa" w:w="48"/>
              <w:right w:type="dxa" w:w="100"/>
            </w:tcMar>
          </w:tcPr>
          <w:p>
            <w:pPr>
              <w:spacing w:after="0"/>
            </w:pPr>
            <w:r>
              <w:rPr>
                <w:rFonts w:ascii="Calibri" w:cs="Calibri" w:eastAsia="Calibri" w:hAnsi="Calibri"/>
                <w:b/>
                <w:bCs/>
                <w:color w:val="1E293B"/>
                <w:sz w:val="19"/>
                <w:szCs w:val="19"/>
              </w:rPr>
              <w:t xml:space="preserve">Titan Expert</w:t>
            </w:r>
          </w:p>
        </w:tc>
        <w:tc>
          <w:tcPr>
            <w:tcW w:type="dxa" w:w="7840"/>
            <w:tcBorders>
              <w:top w:val="single" w:color="D8CDB8" w:sz="4"/>
              <w:left w:val="single" w:color="D8CDB8" w:sz="4"/>
              <w:bottom w:val="single" w:color="D8CDB8" w:sz="4"/>
              <w:right w:val="single" w:color="D8CDB8" w:sz="4"/>
            </w:tcBorders>
            <w:tcMar>
              <w:top w:type="dxa" w:w="48"/>
              <w:left w:type="dxa" w:w="100"/>
              <w:bottom w:type="dxa" w:w="48"/>
              <w:right w:type="dxa" w:w="100"/>
            </w:tcMar>
          </w:tcPr>
          <w:p>
            <w:pPr>
              <w:spacing w:after="0"/>
            </w:pPr>
            <w:r>
              <w:rPr>
                <w:rFonts w:ascii="Calibri" w:cs="Calibri" w:eastAsia="Calibri" w:hAnsi="Calibri"/>
                <w:color w:val="1E293B"/>
                <w:sz w:val="19"/>
                <w:szCs w:val="19"/>
              </w:rPr>
              <w:t xml:space="preserve">Only their own book of clients. Full editing on those clients.</w:t>
            </w:r>
          </w:p>
        </w:tc>
      </w:tr>
      <w:tr>
        <w:tc>
          <w:tcPr>
            <w:tcW w:type="dxa" w:w="2400"/>
            <w:tcBorders>
              <w:top w:val="single" w:color="D8CDB8" w:sz="4"/>
              <w:left w:val="single" w:color="D8CDB8" w:sz="4"/>
              <w:bottom w:val="single" w:color="D8CDB8" w:sz="4"/>
              <w:right w:val="single" w:color="D8CDB8" w:sz="4"/>
            </w:tcBorders>
            <w:tcMar>
              <w:top w:type="dxa" w:w="48"/>
              <w:left w:type="dxa" w:w="100"/>
              <w:bottom w:type="dxa" w:w="48"/>
              <w:right w:type="dxa" w:w="100"/>
            </w:tcMar>
          </w:tcPr>
          <w:p>
            <w:pPr>
              <w:spacing w:after="0"/>
            </w:pPr>
            <w:r>
              <w:rPr>
                <w:rFonts w:ascii="Calibri" w:cs="Calibri" w:eastAsia="Calibri" w:hAnsi="Calibri"/>
                <w:b/>
                <w:bCs/>
                <w:color w:val="1E293B"/>
                <w:sz w:val="19"/>
                <w:szCs w:val="19"/>
              </w:rPr>
              <w:t xml:space="preserve">Partner</w:t>
            </w:r>
          </w:p>
        </w:tc>
        <w:tc>
          <w:tcPr>
            <w:tcW w:type="dxa" w:w="7840"/>
            <w:tcBorders>
              <w:top w:val="single" w:color="D8CDB8" w:sz="4"/>
              <w:left w:val="single" w:color="D8CDB8" w:sz="4"/>
              <w:bottom w:val="single" w:color="D8CDB8" w:sz="4"/>
              <w:right w:val="single" w:color="D8CDB8" w:sz="4"/>
            </w:tcBorders>
            <w:tcMar>
              <w:top w:type="dxa" w:w="48"/>
              <w:left w:type="dxa" w:w="100"/>
              <w:bottom w:type="dxa" w:w="48"/>
              <w:right w:type="dxa" w:w="100"/>
            </w:tcMar>
          </w:tcPr>
          <w:p>
            <w:pPr>
              <w:spacing w:after="0"/>
            </w:pPr>
            <w:r>
              <w:rPr>
                <w:rFonts w:ascii="Calibri" w:cs="Calibri" w:eastAsia="Calibri" w:hAnsi="Calibri"/>
                <w:color w:val="1E293B"/>
                <w:sz w:val="19"/>
                <w:szCs w:val="19"/>
              </w:rPr>
              <w:t xml:space="preserve">Only clients explicitly granted to them. Read-only, plus document upload.</w:t>
            </w:r>
          </w:p>
        </w:tc>
      </w:tr>
      <w:tr>
        <w:tc>
          <w:tcPr>
            <w:tcW w:type="dxa" w:w="2400"/>
            <w:tcBorders>
              <w:top w:val="single" w:color="D8CDB8" w:sz="4"/>
              <w:left w:val="single" w:color="D8CDB8" w:sz="4"/>
              <w:bottom w:val="single" w:color="D8CDB8" w:sz="4"/>
              <w:right w:val="single" w:color="D8CDB8" w:sz="4"/>
            </w:tcBorders>
            <w:tcMar>
              <w:top w:type="dxa" w:w="48"/>
              <w:left w:type="dxa" w:w="100"/>
              <w:bottom w:type="dxa" w:w="48"/>
              <w:right w:type="dxa" w:w="100"/>
            </w:tcMar>
          </w:tcPr>
          <w:p>
            <w:pPr>
              <w:spacing w:after="0"/>
            </w:pPr>
            <w:r>
              <w:rPr>
                <w:rFonts w:ascii="Calibri" w:cs="Calibri" w:eastAsia="Calibri" w:hAnsi="Calibri"/>
                <w:b/>
                <w:bCs/>
                <w:color w:val="1E293B"/>
                <w:sz w:val="19"/>
                <w:szCs w:val="19"/>
              </w:rPr>
              <w:t xml:space="preserve">Client</w:t>
            </w:r>
          </w:p>
        </w:tc>
        <w:tc>
          <w:tcPr>
            <w:tcW w:type="dxa" w:w="7840"/>
            <w:tcBorders>
              <w:top w:val="single" w:color="D8CDB8" w:sz="4"/>
              <w:left w:val="single" w:color="D8CDB8" w:sz="4"/>
              <w:bottom w:val="single" w:color="D8CDB8" w:sz="4"/>
              <w:right w:val="single" w:color="D8CDB8" w:sz="4"/>
            </w:tcBorders>
            <w:tcMar>
              <w:top w:type="dxa" w:w="48"/>
              <w:left w:type="dxa" w:w="100"/>
              <w:bottom w:type="dxa" w:w="48"/>
              <w:right w:type="dxa" w:w="100"/>
            </w:tcMar>
          </w:tcPr>
          <w:p>
            <w:pPr>
              <w:spacing w:after="0"/>
            </w:pPr>
            <w:r>
              <w:rPr>
                <w:rFonts w:ascii="Calibri" w:cs="Calibri" w:eastAsia="Calibri" w:hAnsi="Calibri"/>
                <w:color w:val="1E293B"/>
                <w:sz w:val="19"/>
                <w:szCs w:val="19"/>
              </w:rPr>
              <w:t xml:space="preserve">Their own household only, read-only.</w:t>
            </w:r>
          </w:p>
        </w:tc>
      </w:tr>
    </w:tbl>
    <w:p>
      <w:pPr>
        <w:spacing w:after="30" w:before="0"/>
      </w:pPr>
      <w:r>
        <w:rPr>
          <w:rFonts w:ascii="Calibri" w:cs="Calibri" w:eastAsia="Calibri" w:hAnsi="Calibri"/>
          <w:color w:val="1E293B"/>
          <w:sz w:val="21"/>
          <w:szCs w:val="21"/>
        </w:rPr>
        <w:t xml:space="preserve"/>
      </w:r>
    </w:p>
    <w:p>
      <w:pPr>
        <w:pStyle w:val="ListParagraph"/>
        <w:numPr>
          <w:ilvl w:val="0"/>
          <w:numId w:val="2"/>
        </w:numPr>
        <w:spacing w:after="36"/>
      </w:pPr>
      <w:r>
        <w:rPr>
          <w:rFonts w:ascii="Calibri" w:cs="Calibri" w:eastAsia="Calibri" w:hAnsi="Calibri"/>
          <w:color w:val="1E293B"/>
          <w:sz w:val="20"/>
          <w:szCs w:val="20"/>
        </w:rPr>
        <w:t xml:space="preserve">Four roles: Administrator, Adviser, Partner and Client. Access rules are enforced by the platform itself rather than by hiding screens, so an adviser cannot reach a household outside their book by any route.</w:t>
      </w:r>
    </w:p>
    <w:p>
      <w:pPr>
        <w:pStyle w:val="ListParagraph"/>
        <w:numPr>
          <w:ilvl w:val="0"/>
          <w:numId w:val="2"/>
        </w:numPr>
        <w:spacing w:after="36"/>
      </w:pPr>
      <w:r>
        <w:rPr>
          <w:rFonts w:ascii="Calibri" w:cs="Calibri" w:eastAsia="Calibri" w:hAnsi="Calibri"/>
          <w:color w:val="1E293B"/>
          <w:sz w:val="20"/>
          <w:szCs w:val="20"/>
        </w:rPr>
        <w:t xml:space="preserve">Each household has one responsible adviser. That determines who can see it, who is copied on correspondence sent about it, and the address correspondence comes from.</w:t>
      </w:r>
    </w:p>
    <w:p>
      <w:pPr>
        <w:pStyle w:val="ListParagraph"/>
        <w:numPr>
          <w:ilvl w:val="0"/>
          <w:numId w:val="2"/>
        </w:numPr>
        <w:spacing w:after="36"/>
      </w:pPr>
      <w:r>
        <w:rPr>
          <w:rFonts w:ascii="Calibri" w:cs="Calibri" w:eastAsia="Calibri" w:hAnsi="Calibri"/>
          <w:color w:val="1E293B"/>
          <w:sz w:val="20"/>
          <w:szCs w:val="20"/>
        </w:rPr>
        <w:t xml:space="preserve">Partners — accountants, attorneys, anyone outside the firm you want to give sight of a household — get read-only access to named households, and may upload documents. They cannot approve or send anything.</w:t>
      </w:r>
    </w:p>
    <w:p>
      <w:pPr>
        <w:pStyle w:val="ListParagraph"/>
        <w:numPr>
          <w:ilvl w:val="0"/>
          <w:numId w:val="2"/>
        </w:numPr>
        <w:spacing w:after="36"/>
      </w:pPr>
      <w:r>
        <w:rPr>
          <w:rFonts w:ascii="Calibri" w:cs="Calibri" w:eastAsia="Calibri" w:hAnsi="Calibri"/>
          <w:color w:val="1E293B"/>
          <w:sz w:val="20"/>
          <w:szCs w:val="20"/>
        </w:rPr>
        <w:t xml:space="preserve">Clients see their own household only, and cannot change anything.</w:t>
      </w:r>
    </w:p>
    <w:p>
      <w:pPr>
        <w:keepNext/>
        <w:pBdr>
          <w:bottom w:val="single" w:color="CEB684" w:sz="8"/>
        </w:pBdr>
        <w:spacing w:after="70" w:before="190"/>
      </w:pPr>
      <w:r>
        <w:rPr>
          <w:rFonts w:ascii="Georgia" w:cs="Georgia" w:eastAsia="Georgia" w:hAnsi="Georgia"/>
          <w:b/>
          <w:bCs/>
          <w:color w:val="092B49"/>
          <w:sz w:val="25"/>
          <w:szCs w:val="25"/>
        </w:rPr>
        <w:t xml:space="preserve">2.  Households and their people</w:t>
      </w:r>
    </w:p>
    <w:p>
      <w:pPr>
        <w:pStyle w:val="ListParagraph"/>
        <w:numPr>
          <w:ilvl w:val="0"/>
          <w:numId w:val="2"/>
        </w:numPr>
        <w:spacing w:after="36"/>
      </w:pPr>
      <w:r>
        <w:rPr>
          <w:rFonts w:ascii="Calibri" w:cs="Calibri" w:eastAsia="Calibri" w:hAnsi="Calibri"/>
          <w:color w:val="1E293B"/>
          <w:sz w:val="20"/>
          <w:szCs w:val="20"/>
        </w:rPr>
        <w:t xml:space="preserve">A household record holds the family, its people, and everyone who advises them. Everything else — properties, accounts, documents, obligations — belongs to a household.</w:t>
      </w:r>
    </w:p>
    <w:p>
      <w:pPr>
        <w:pStyle w:val="ListParagraph"/>
        <w:numPr>
          <w:ilvl w:val="0"/>
          <w:numId w:val="2"/>
        </w:numPr>
        <w:spacing w:after="36"/>
      </w:pPr>
      <w:r>
        <w:rPr>
          <w:rFonts w:ascii="Calibri" w:cs="Calibri" w:eastAsia="Calibri" w:hAnsi="Calibri"/>
          <w:color w:val="1E293B"/>
          <w:sz w:val="20"/>
          <w:szCs w:val="20"/>
        </w:rPr>
        <w:t xml:space="preserve">Designate one member as the primary contact. They are copied on every piece of correspondence the platform prepares about that household, so the family always sees what is being done in their name.</w:t>
      </w:r>
    </w:p>
    <w:p>
      <w:pPr>
        <w:pStyle w:val="ListParagraph"/>
        <w:numPr>
          <w:ilvl w:val="0"/>
          <w:numId w:val="2"/>
        </w:numPr>
        <w:spacing w:after="36"/>
      </w:pPr>
      <w:r>
        <w:rPr>
          <w:rFonts w:ascii="Calibri" w:cs="Calibri" w:eastAsia="Calibri" w:hAnsi="Calibri"/>
          <w:color w:val="1E293B"/>
          <w:sz w:val="20"/>
          <w:szCs w:val="20"/>
        </w:rPr>
        <w:t xml:space="preserve">Record the household's professional contacts and counterparties: accountant, attorney, banker, trustee, insurance broker, fund administrators. Two reasons this matters — the family can email them from the portal, and the platform recognises them as legitimate recipients when correspondence goes out.</w:t>
      </w:r>
    </w:p>
    <w:p>
      <w:pPr>
        <w:keepNext/>
        <w:pBdr>
          <w:bottom w:val="single" w:color="CEB684" w:sz="8"/>
        </w:pBdr>
        <w:spacing w:after="70" w:before="190"/>
      </w:pPr>
      <w:r>
        <w:rPr>
          <w:rFonts w:ascii="Georgia" w:cs="Georgia" w:eastAsia="Georgia" w:hAnsi="Georgia"/>
          <w:b/>
          <w:bCs/>
          <w:color w:val="092B49"/>
          <w:sz w:val="25"/>
          <w:szCs w:val="25"/>
        </w:rPr>
        <w:t xml:space="preserve">3.  Properties and the documents behind them</w:t>
      </w:r>
    </w:p>
    <w:p>
      <w:pPr>
        <w:pStyle w:val="ListParagraph"/>
        <w:numPr>
          <w:ilvl w:val="0"/>
          <w:numId w:val="2"/>
        </w:numPr>
        <w:spacing w:after="36"/>
      </w:pPr>
      <w:r>
        <w:rPr>
          <w:rFonts w:ascii="Calibri" w:cs="Calibri" w:eastAsia="Calibri" w:hAnsi="Calibri"/>
          <w:color w:val="1E293B"/>
          <w:sz w:val="20"/>
          <w:szCs w:val="20"/>
        </w:rPr>
        <w:t xml:space="preserve">Each property holds its loan, tax, insurance, flood and tenancy detail, plus the vendors who look after it.</w:t>
      </w:r>
    </w:p>
    <w:p>
      <w:pPr>
        <w:pStyle w:val="ListParagraph"/>
        <w:numPr>
          <w:ilvl w:val="0"/>
          <w:numId w:val="2"/>
        </w:numPr>
        <w:spacing w:after="36"/>
      </w:pPr>
      <w:r>
        <w:rPr>
          <w:rFonts w:ascii="Calibri" w:cs="Calibri" w:eastAsia="Calibri" w:hAnsi="Calibri"/>
          <w:color w:val="1E293B"/>
          <w:sz w:val="20"/>
          <w:szCs w:val="20"/>
        </w:rPr>
        <w:t xml:space="preserve">Every figure can carry the document that proves it. Click the icon beside the insurance premium and the declarations page opens — no hunting through a folder.</w:t>
      </w:r>
    </w:p>
    <w:p>
      <w:pPr>
        <w:pStyle w:val="ListParagraph"/>
        <w:numPr>
          <w:ilvl w:val="0"/>
          <w:numId w:val="2"/>
        </w:numPr>
        <w:spacing w:after="36"/>
      </w:pPr>
      <w:r>
        <w:rPr>
          <w:rFonts w:ascii="Calibri" w:cs="Calibri" w:eastAsia="Calibri" w:hAnsi="Calibri"/>
          <w:color w:val="1E293B"/>
          <w:sz w:val="20"/>
          <w:szCs w:val="20"/>
        </w:rPr>
        <w:t xml:space="preserve">When next year's bill arrives it replaces this year's in two clicks, and the old one stays on file rather than being overwritten.</w:t>
      </w:r>
    </w:p>
    <w:p>
      <w:pPr>
        <w:pStyle w:val="ListParagraph"/>
        <w:numPr>
          <w:ilvl w:val="0"/>
          <w:numId w:val="2"/>
        </w:numPr>
        <w:spacing w:after="36"/>
      </w:pPr>
      <w:r>
        <w:rPr>
          <w:rFonts w:ascii="Calibri" w:cs="Calibri" w:eastAsia="Calibri" w:hAnsi="Calibri"/>
          <w:color w:val="1E293B"/>
          <w:sz w:val="20"/>
          <w:szCs w:val="20"/>
        </w:rPr>
        <w:t xml:space="preserve">Upload a closing document or statement and the platform will read it and propose the property's details for an adviser to check.</w:t>
      </w:r>
    </w:p>
    <w:p>
      <w:pPr>
        <w:keepNext/>
        <w:pBdr>
          <w:bottom w:val="single" w:color="CEB684" w:sz="8"/>
        </w:pBdr>
        <w:spacing w:after="70" w:before="190"/>
      </w:pPr>
      <w:r>
        <w:rPr>
          <w:rFonts w:ascii="Georgia" w:cs="Georgia" w:eastAsia="Georgia" w:hAnsi="Georgia"/>
          <w:b/>
          <w:bCs/>
          <w:color w:val="092B49"/>
          <w:sz w:val="25"/>
          <w:szCs w:val="25"/>
        </w:rPr>
        <w:t xml:space="preserve">4.  Portfolio accounts, statements and balances</w:t>
      </w:r>
    </w:p>
    <w:p>
      <w:pPr>
        <w:pStyle w:val="ListParagraph"/>
        <w:numPr>
          <w:ilvl w:val="0"/>
          <w:numId w:val="2"/>
        </w:numPr>
        <w:spacing w:after="36"/>
      </w:pPr>
      <w:r>
        <w:rPr>
          <w:rFonts w:ascii="Calibri" w:cs="Calibri" w:eastAsia="Calibri" w:hAnsi="Calibri"/>
          <w:color w:val="1E293B"/>
          <w:sz w:val="20"/>
          <w:szCs w:val="20"/>
        </w:rPr>
        <w:t xml:space="preserve">Each account shows its balance, the date that balance is good as at, and a link to the statement it came from. Where a figure has no date behind it, the platform says so rather than letting it look authoritative.</w:t>
      </w:r>
    </w:p>
    <w:p>
      <w:pPr>
        <w:pStyle w:val="ListParagraph"/>
        <w:numPr>
          <w:ilvl w:val="0"/>
          <w:numId w:val="2"/>
        </w:numPr>
        <w:spacing w:after="36"/>
      </w:pPr>
      <w:r>
        <w:rPr>
          <w:rFonts w:ascii="Calibri" w:cs="Calibri" w:eastAsia="Calibri" w:hAnsi="Calibri"/>
          <w:color w:val="1E293B"/>
          <w:sz w:val="20"/>
          <w:szCs w:val="20"/>
        </w:rPr>
        <w:t xml:space="preserve">Upload a statement and it is filed against the account, then read: the platform proposes the closing balance and the period end for an adviser to confirm. Nothing is recorded until a person accepts it.</w:t>
      </w:r>
    </w:p>
    <w:p>
      <w:pPr>
        <w:pStyle w:val="ListParagraph"/>
        <w:numPr>
          <w:ilvl w:val="0"/>
          <w:numId w:val="2"/>
        </w:numPr>
        <w:spacing w:after="36"/>
      </w:pPr>
      <w:r>
        <w:rPr>
          <w:rFonts w:ascii="Calibri" w:cs="Calibri" w:eastAsia="Calibri" w:hAnsi="Calibri"/>
          <w:color w:val="1E293B"/>
          <w:sz w:val="20"/>
          <w:szCs w:val="20"/>
        </w:rPr>
        <w:t xml:space="preserve">Balance history shows every figure held for the account, the change between periods, and the statement behind each one.</w:t>
      </w:r>
    </w:p>
    <w:p>
      <w:pPr>
        <w:pStyle w:val="ListParagraph"/>
        <w:numPr>
          <w:ilvl w:val="0"/>
          <w:numId w:val="2"/>
        </w:numPr>
        <w:spacing w:after="36"/>
      </w:pPr>
      <w:r>
        <w:rPr>
          <w:rFonts w:ascii="Calibri" w:cs="Calibri" w:eastAsia="Calibri" w:hAnsi="Calibri"/>
          <w:color w:val="1E293B"/>
          <w:sz w:val="20"/>
          <w:szCs w:val="20"/>
        </w:rPr>
        <w:t xml:space="preserve">A restated statement replaces that period's figure rather than sitting beside it, so there is never more than one number claiming to be the same quarter.</w:t>
      </w:r>
    </w:p>
    <w:p>
      <w:pPr>
        <w:keepNext/>
        <w:pBdr>
          <w:bottom w:val="single" w:color="CEB684" w:sz="8"/>
        </w:pBdr>
        <w:spacing w:after="70" w:before="190"/>
      </w:pPr>
      <w:r>
        <w:rPr>
          <w:rFonts w:ascii="Georgia" w:cs="Georgia" w:eastAsia="Georgia" w:hAnsi="Georgia"/>
          <w:b/>
          <w:bCs/>
          <w:color w:val="092B49"/>
          <w:sz w:val="25"/>
          <w:szCs w:val="25"/>
        </w:rPr>
        <w:t xml:space="preserve">5.  Valuables</w:t>
      </w:r>
    </w:p>
    <w:p>
      <w:pPr>
        <w:pStyle w:val="ListParagraph"/>
        <w:numPr>
          <w:ilvl w:val="0"/>
          <w:numId w:val="2"/>
        </w:numPr>
        <w:spacing w:after="36"/>
      </w:pPr>
      <w:r>
        <w:rPr>
          <w:rFonts w:ascii="Calibri" w:cs="Calibri" w:eastAsia="Calibri" w:hAnsi="Calibri"/>
          <w:color w:val="1E293B"/>
          <w:sz w:val="20"/>
          <w:szCs w:val="20"/>
        </w:rPr>
        <w:t xml:space="preserve">Valuables are recorded with their value and linked to the schedule that insures them.</w:t>
      </w:r>
    </w:p>
    <w:p>
      <w:pPr>
        <w:pStyle w:val="ListParagraph"/>
        <w:numPr>
          <w:ilvl w:val="0"/>
          <w:numId w:val="2"/>
        </w:numPr>
        <w:spacing w:after="36"/>
      </w:pPr>
      <w:r>
        <w:rPr>
          <w:rFonts w:ascii="Calibri" w:cs="Calibri" w:eastAsia="Calibri" w:hAnsi="Calibri"/>
          <w:color w:val="1E293B"/>
          <w:sz w:val="20"/>
          <w:szCs w:val="20"/>
        </w:rPr>
        <w:t xml:space="preserve">Items with no cover on file read 'Not scheduled', so an uninsured piece is visible rather than simply missing from a list.</w:t>
      </w:r>
    </w:p>
    <w:p>
      <w:pPr>
        <w:keepNext/>
        <w:pBdr>
          <w:bottom w:val="single" w:color="CEB684" w:sz="8"/>
        </w:pBdr>
        <w:spacing w:after="70" w:before="190"/>
      </w:pPr>
      <w:r>
        <w:rPr>
          <w:rFonts w:ascii="Georgia" w:cs="Georgia" w:eastAsia="Georgia" w:hAnsi="Georgia"/>
          <w:b/>
          <w:bCs/>
          <w:color w:val="092B49"/>
          <w:sz w:val="25"/>
          <w:szCs w:val="25"/>
        </w:rPr>
        <w:t xml:space="preserve">6.  Cash flow</w:t>
      </w:r>
    </w:p>
    <w:p>
      <w:pPr>
        <w:pStyle w:val="ListParagraph"/>
        <w:numPr>
          <w:ilvl w:val="0"/>
          <w:numId w:val="2"/>
        </w:numPr>
        <w:spacing w:after="36"/>
      </w:pPr>
      <w:r>
        <w:rPr>
          <w:rFonts w:ascii="Calibri" w:cs="Calibri" w:eastAsia="Calibri" w:hAnsi="Calibri"/>
          <w:color w:val="1E293B"/>
          <w:sz w:val="20"/>
          <w:szCs w:val="20"/>
        </w:rPr>
        <w:t xml:space="preserve">Cash flow holds income and expenses with their tax treatment, and projects them forward over several years.</w:t>
      </w:r>
    </w:p>
    <w:p>
      <w:pPr>
        <w:pStyle w:val="ListParagraph"/>
        <w:numPr>
          <w:ilvl w:val="0"/>
          <w:numId w:val="2"/>
        </w:numPr>
        <w:spacing w:after="36"/>
      </w:pPr>
      <w:r>
        <w:rPr>
          <w:rFonts w:ascii="Calibri" w:cs="Calibri" w:eastAsia="Calibri" w:hAnsi="Calibri"/>
          <w:color w:val="1E293B"/>
          <w:sz w:val="20"/>
          <w:szCs w:val="20"/>
        </w:rPr>
        <w:t xml:space="preserve">Where your firm pays a bill on a household's behalf, the record shows it was paid, by whom, and when — so the family can see it was handled without having to ask.</w:t>
      </w:r>
    </w:p>
    <w:p>
      <w:pPr>
        <w:keepNext/>
        <w:pBdr>
          <w:bottom w:val="single" w:color="CEB684" w:sz="8"/>
        </w:pBdr>
        <w:spacing w:after="70" w:before="190"/>
      </w:pPr>
      <w:r>
        <w:rPr>
          <w:rFonts w:ascii="Georgia" w:cs="Georgia" w:eastAsia="Georgia" w:hAnsi="Georgia"/>
          <w:b/>
          <w:bCs/>
          <w:color w:val="092B49"/>
          <w:sz w:val="25"/>
          <w:szCs w:val="25"/>
        </w:rPr>
        <w:t xml:space="preserve">7.  The Vault</w:t>
      </w:r>
    </w:p>
    <w:p>
      <w:pPr>
        <w:pStyle w:val="ListParagraph"/>
        <w:numPr>
          <w:ilvl w:val="0"/>
          <w:numId w:val="2"/>
        </w:numPr>
        <w:spacing w:after="36"/>
      </w:pPr>
      <w:r>
        <w:rPr>
          <w:rFonts w:ascii="Calibri" w:cs="Calibri" w:eastAsia="Calibri" w:hAnsi="Calibri"/>
          <w:color w:val="1E293B"/>
          <w:sz w:val="20"/>
          <w:szCs w:val="20"/>
        </w:rPr>
        <w:t xml:space="preserve">The Vault holds every document for a household, organised into folders.</w:t>
      </w:r>
    </w:p>
    <w:p>
      <w:pPr>
        <w:pStyle w:val="ListParagraph"/>
        <w:numPr>
          <w:ilvl w:val="0"/>
          <w:numId w:val="2"/>
        </w:numPr>
        <w:spacing w:after="36"/>
      </w:pPr>
      <w:r>
        <w:rPr>
          <w:rFonts w:ascii="Calibri" w:cs="Calibri" w:eastAsia="Calibri" w:hAnsi="Calibri"/>
          <w:color w:val="1E293B"/>
          <w:sz w:val="20"/>
          <w:szCs w:val="20"/>
        </w:rPr>
        <w:t xml:space="preserve">Each upload is read on arrival, including scans, so the assistant can answer questions from its contents rather than just listing a filename.</w:t>
      </w:r>
    </w:p>
    <w:p>
      <w:pPr>
        <w:pStyle w:val="ListParagraph"/>
        <w:numPr>
          <w:ilvl w:val="0"/>
          <w:numId w:val="2"/>
        </w:numPr>
        <w:spacing w:after="36"/>
      </w:pPr>
      <w:r>
        <w:rPr>
          <w:rFonts w:ascii="Calibri" w:cs="Calibri" w:eastAsia="Calibri" w:hAnsi="Calibri"/>
          <w:color w:val="1E293B"/>
          <w:sz w:val="20"/>
          <w:szCs w:val="20"/>
        </w:rPr>
        <w:t xml:space="preserve">Documents link to what they support — a property's insurance section, a valuables schedule, a portfolio account.</w:t>
      </w:r>
    </w:p>
    <w:p>
      <w:pPr>
        <w:pStyle w:val="ListParagraph"/>
        <w:numPr>
          <w:ilvl w:val="0"/>
          <w:numId w:val="2"/>
        </w:numPr>
        <w:spacing w:after="36"/>
      </w:pPr>
      <w:r>
        <w:rPr>
          <w:rFonts w:ascii="Calibri" w:cs="Calibri" w:eastAsia="Calibri" w:hAnsi="Calibri"/>
          <w:color w:val="1E293B"/>
          <w:sz w:val="20"/>
          <w:szCs w:val="20"/>
        </w:rPr>
        <w:t xml:space="preserve">Documents open through time-limited links, never permanent public ones, and every download is recorded against the person who opened it.</w:t>
      </w:r>
    </w:p>
    <w:p>
      <w:pPr>
        <w:keepNext/>
        <w:pBdr>
          <w:bottom w:val="single" w:color="CEB684" w:sz="8"/>
        </w:pBdr>
        <w:spacing w:after="70" w:before="190"/>
      </w:pPr>
      <w:r>
        <w:rPr>
          <w:rFonts w:ascii="Georgia" w:cs="Georgia" w:eastAsia="Georgia" w:hAnsi="Georgia"/>
          <w:b/>
          <w:bCs/>
          <w:color w:val="092B49"/>
          <w:sz w:val="25"/>
          <w:szCs w:val="25"/>
        </w:rPr>
        <w:t xml:space="preserve">8.  Obligations and workflow cycles</w:t>
      </w:r>
    </w:p>
    <w:p>
      <w:pPr>
        <w:pStyle w:val="ListParagraph"/>
        <w:numPr>
          <w:ilvl w:val="0"/>
          <w:numId w:val="2"/>
        </w:numPr>
        <w:spacing w:after="36"/>
      </w:pPr>
      <w:r>
        <w:rPr>
          <w:rFonts w:ascii="Calibri" w:cs="Calibri" w:eastAsia="Calibri" w:hAnsi="Calibri"/>
          <w:color w:val="1E293B"/>
          <w:sz w:val="20"/>
          <w:szCs w:val="20"/>
        </w:rPr>
        <w:t xml:space="preserve">An obligation is a recurring commitment — a premium, an annuity payment, a required distribution, a capital call, a tax instalment. Record it once and the platform carries each cycle.</w:t>
      </w:r>
    </w:p>
    <w:p>
      <w:pPr>
        <w:pStyle w:val="ListParagraph"/>
        <w:numPr>
          <w:ilvl w:val="0"/>
          <w:numId w:val="2"/>
        </w:numPr>
        <w:spacing w:after="36"/>
      </w:pPr>
      <w:r>
        <w:rPr>
          <w:rFonts w:ascii="Calibri" w:cs="Calibri" w:eastAsia="Calibri" w:hAnsi="Calibri"/>
          <w:color w:val="1E293B"/>
          <w:sz w:val="20"/>
          <w:szCs w:val="20"/>
        </w:rPr>
        <w:t xml:space="preserve">Nine playbooks ship with the platform across insurance, trusts and estates, tax and investments. Starting a cycle lays out every step against a real calendar date, counted back from the due date.</w:t>
      </w:r>
    </w:p>
    <w:p>
      <w:pPr>
        <w:pStyle w:val="ListParagraph"/>
        <w:numPr>
          <w:ilvl w:val="0"/>
          <w:numId w:val="2"/>
        </w:numPr>
        <w:spacing w:after="36"/>
      </w:pPr>
      <w:r>
        <w:rPr>
          <w:rFonts w:ascii="Calibri" w:cs="Calibri" w:eastAsia="Calibri" w:hAnsi="Calibri"/>
          <w:color w:val="1E293B"/>
          <w:sz w:val="20"/>
          <w:szCs w:val="20"/>
        </w:rPr>
        <w:t xml:space="preserve">Questions that change the schedule are asked before the dates are set, so a trust's withdrawal window or an accountant's sign-off is built into the timeline rather than remembered later.</w:t>
      </w:r>
    </w:p>
    <w:p>
      <w:pPr>
        <w:pStyle w:val="ListParagraph"/>
        <w:numPr>
          <w:ilvl w:val="0"/>
          <w:numId w:val="2"/>
        </w:numPr>
        <w:spacing w:after="36"/>
      </w:pPr>
      <w:r>
        <w:rPr>
          <w:rFonts w:ascii="Calibri" w:cs="Calibri" w:eastAsia="Calibri" w:hAnsi="Calibri"/>
          <w:color w:val="1E293B"/>
          <w:sz w:val="20"/>
          <w:szCs w:val="20"/>
        </w:rPr>
        <w:t xml:space="preserve">A cycle started too late to fit its own lead times says so immediately and names the step that has already slipped.</w:t>
      </w:r>
    </w:p>
    <w:p>
      <w:pPr>
        <w:pStyle w:val="ListParagraph"/>
        <w:numPr>
          <w:ilvl w:val="0"/>
          <w:numId w:val="2"/>
        </w:numPr>
        <w:spacing w:after="36"/>
      </w:pPr>
      <w:r>
        <w:rPr>
          <w:rFonts w:ascii="Calibri" w:cs="Calibri" w:eastAsia="Calibri" w:hAnsi="Calibri"/>
          <w:color w:val="1E293B"/>
          <w:sz w:val="20"/>
          <w:szCs w:val="20"/>
        </w:rPr>
        <w:t xml:space="preserve">Steps that do not apply to a particular household stay visible marked as not required, so a short list never looks like a forgotten one.</w:t>
      </w:r>
    </w:p>
    <w:p>
      <w:pPr>
        <w:pStyle w:val="ListParagraph"/>
        <w:numPr>
          <w:ilvl w:val="0"/>
          <w:numId w:val="2"/>
        </w:numPr>
        <w:spacing w:after="36"/>
      </w:pPr>
      <w:r>
        <w:rPr>
          <w:rFonts w:ascii="Calibri" w:cs="Calibri" w:eastAsia="Calibri" w:hAnsi="Calibri"/>
          <w:color w:val="1E293B"/>
          <w:sz w:val="20"/>
          <w:szCs w:val="20"/>
        </w:rPr>
        <w:t xml:space="preserve">Playbooks are data, not code. Your administrators can adjust lead times and steps, and add playbooks of your own.</w:t>
      </w:r>
    </w:p>
    <w:p>
      <w:pPr>
        <w:keepNext/>
        <w:pBdr>
          <w:bottom w:val="single" w:color="CEB684" w:sz="8"/>
        </w:pBdr>
        <w:spacing w:after="70" w:before="190"/>
      </w:pPr>
      <w:r>
        <w:rPr>
          <w:rFonts w:ascii="Georgia" w:cs="Georgia" w:eastAsia="Georgia" w:hAnsi="Georgia"/>
          <w:b/>
          <w:bCs/>
          <w:color w:val="092B49"/>
          <w:sz w:val="25"/>
          <w:szCs w:val="25"/>
        </w:rPr>
        <w:t xml:space="preserve">9.  Preparing, approving and sending correspondence</w:t>
      </w:r>
    </w:p>
    <w:p>
      <w:pPr>
        <w:pStyle w:val="ListParagraph"/>
        <w:numPr>
          <w:ilvl w:val="0"/>
          <w:numId w:val="2"/>
        </w:numPr>
        <w:spacing w:after="36"/>
      </w:pPr>
      <w:r>
        <w:rPr>
          <w:rFonts w:ascii="Calibri" w:cs="Calibri" w:eastAsia="Calibri" w:hAnsi="Calibri"/>
          <w:color w:val="1E293B"/>
          <w:sz w:val="20"/>
          <w:szCs w:val="20"/>
        </w:rPr>
        <w:t xml:space="preserve">The platform assembles the item a step needs — a transfer request to a bank, an instruction to a trustee, a notice to a beneficiary, a note to an accountant — using the obligation, the funding accounts and the document on file. Each is written in the form appropriate to its recipient.</w:t>
      </w:r>
    </w:p>
    <w:p>
      <w:pPr>
        <w:pStyle w:val="ListParagraph"/>
        <w:numPr>
          <w:ilvl w:val="0"/>
          <w:numId w:val="2"/>
        </w:numPr>
        <w:spacing w:after="36"/>
      </w:pPr>
      <w:r>
        <w:rPr>
          <w:rFonts w:ascii="Calibri" w:cs="Calibri" w:eastAsia="Calibri" w:hAnsi="Calibri"/>
          <w:color w:val="1E293B"/>
          <w:sz w:val="20"/>
          <w:szCs w:val="20"/>
        </w:rPr>
        <w:t xml:space="preserve">Nothing leaves without a named person approving it. Approval and sending are recorded separately, each attributed.</w:t>
      </w:r>
    </w:p>
    <w:p>
      <w:pPr>
        <w:pStyle w:val="ListParagraph"/>
        <w:numPr>
          <w:ilvl w:val="0"/>
          <w:numId w:val="2"/>
        </w:numPr>
        <w:spacing w:after="36"/>
      </w:pPr>
      <w:r>
        <w:rPr>
          <w:rFonts w:ascii="Calibri" w:cs="Calibri" w:eastAsia="Calibri" w:hAnsi="Calibri"/>
          <w:color w:val="1E293B"/>
          <w:sz w:val="20"/>
          <w:szCs w:val="20"/>
        </w:rPr>
        <w:t xml:space="preserve">Correspondence goes out as the responsible adviser, from your firm's own verified domain, with the supporting document attached.</w:t>
      </w:r>
    </w:p>
    <w:p>
      <w:pPr>
        <w:pStyle w:val="ListParagraph"/>
        <w:numPr>
          <w:ilvl w:val="0"/>
          <w:numId w:val="2"/>
        </w:numPr>
        <w:spacing w:after="36"/>
      </w:pPr>
      <w:r>
        <w:rPr>
          <w:rFonts w:ascii="Calibri" w:cs="Calibri" w:eastAsia="Calibri" w:hAnsi="Calibri"/>
          <w:color w:val="1E293B"/>
          <w:sz w:val="20"/>
          <w:szCs w:val="20"/>
        </w:rPr>
        <w:t xml:space="preserve">The household's primary contact is copied on everything, so the family sees what is being done in their name.</w:t>
      </w:r>
    </w:p>
    <w:p>
      <w:pPr>
        <w:pStyle w:val="ListParagraph"/>
        <w:numPr>
          <w:ilvl w:val="0"/>
          <w:numId w:val="2"/>
        </w:numPr>
        <w:spacing w:after="36"/>
      </w:pPr>
      <w:r>
        <w:rPr>
          <w:rFonts w:ascii="Calibri" w:cs="Calibri" w:eastAsia="Calibri" w:hAnsi="Calibri"/>
          <w:color w:val="1E293B"/>
          <w:sz w:val="20"/>
          <w:szCs w:val="20"/>
        </w:rPr>
        <w:t xml:space="preserve">Recipients are checked against the addresses held for that household. An address the firm has no record of stops the send and asks for explicit confirmation.</w:t>
      </w:r>
    </w:p>
    <w:p>
      <w:pPr>
        <w:pStyle w:val="ListParagraph"/>
        <w:numPr>
          <w:ilvl w:val="0"/>
          <w:numId w:val="2"/>
        </w:numPr>
        <w:spacing w:after="36"/>
      </w:pPr>
      <w:r>
        <w:rPr>
          <w:rFonts w:ascii="Calibri" w:cs="Calibri" w:eastAsia="Calibri" w:hAnsi="Calibri"/>
          <w:color w:val="1E293B"/>
          <w:sz w:val="20"/>
          <w:szCs w:val="20"/>
        </w:rPr>
        <w:t xml:space="preserve">A failed send says so and stays outstanding rather than appearing to have worked. A message that has been sent cannot be sent twice.</w:t>
      </w:r>
    </w:p>
    <w:p>
      <w:pPr>
        <w:pStyle w:val="ListParagraph"/>
        <w:numPr>
          <w:ilvl w:val="0"/>
          <w:numId w:val="2"/>
        </w:numPr>
        <w:spacing w:after="36"/>
      </w:pPr>
      <w:r>
        <w:rPr>
          <w:rFonts w:ascii="Calibri" w:cs="Calibri" w:eastAsia="Calibri" w:hAnsi="Calibri"/>
          <w:color w:val="1E293B"/>
          <w:sz w:val="20"/>
          <w:szCs w:val="20"/>
        </w:rPr>
        <w:t xml:space="preserve">Anything the platform could not fill in is marked with a placeholder for the adviser to complete. It does not invent an account number, a policy number or a figure.</w:t>
      </w:r>
    </w:p>
    <w:p>
      <w:pPr>
        <w:pStyle w:val="ListParagraph"/>
        <w:numPr>
          <w:ilvl w:val="0"/>
          <w:numId w:val="2"/>
        </w:numPr>
        <w:spacing w:after="36"/>
      </w:pPr>
      <w:r>
        <w:rPr>
          <w:rFonts w:ascii="Calibri" w:cs="Calibri" w:eastAsia="Calibri" w:hAnsi="Calibri"/>
          <w:color w:val="1E293B"/>
          <w:sz w:val="20"/>
          <w:szCs w:val="20"/>
        </w:rPr>
        <w:t xml:space="preserve">The platform prepares payment instructions. It does not move money.</w:t>
      </w:r>
    </w:p>
    <w:p>
      <w:pPr>
        <w:keepNext/>
        <w:pBdr>
          <w:bottom w:val="single" w:color="CEB684" w:sz="8"/>
        </w:pBdr>
        <w:spacing w:after="70" w:before="190"/>
      </w:pPr>
      <w:r>
        <w:rPr>
          <w:rFonts w:ascii="Georgia" w:cs="Georgia" w:eastAsia="Georgia" w:hAnsi="Georgia"/>
          <w:b/>
          <w:bCs/>
          <w:color w:val="092B49"/>
          <w:sz w:val="25"/>
          <w:szCs w:val="25"/>
        </w:rPr>
        <w:t xml:space="preserve">10.  The assistant</w:t>
      </w:r>
    </w:p>
    <w:p>
      <w:pPr>
        <w:pStyle w:val="ListParagraph"/>
        <w:numPr>
          <w:ilvl w:val="0"/>
          <w:numId w:val="2"/>
        </w:numPr>
        <w:spacing w:after="36"/>
      </w:pPr>
      <w:r>
        <w:rPr>
          <w:rFonts w:ascii="Calibri" w:cs="Calibri" w:eastAsia="Calibri" w:hAnsi="Calibri"/>
          <w:color w:val="1E293B"/>
          <w:sz w:val="20"/>
          <w:szCs w:val="20"/>
        </w:rPr>
        <w:t xml:space="preserve">Every household has an assistant that answers from that household's own records and documents, and tells you which document it used.</w:t>
      </w:r>
    </w:p>
    <w:p>
      <w:pPr>
        <w:pStyle w:val="ListParagraph"/>
        <w:numPr>
          <w:ilvl w:val="0"/>
          <w:numId w:val="2"/>
        </w:numPr>
        <w:spacing w:after="36"/>
      </w:pPr>
      <w:r>
        <w:rPr>
          <w:rFonts w:ascii="Calibri" w:cs="Calibri" w:eastAsia="Calibri" w:hAnsi="Calibri"/>
          <w:color w:val="1E293B"/>
          <w:sz w:val="20"/>
          <w:szCs w:val="20"/>
        </w:rPr>
        <w:t xml:space="preserve">It is scoped to a single household. On a firm-wide screen it asks which one before answering, and it cannot be induced to answer across relationships.</w:t>
      </w:r>
    </w:p>
    <w:p>
      <w:pPr>
        <w:keepNext/>
        <w:pBdr>
          <w:bottom w:val="single" w:color="CEB684" w:sz="8"/>
        </w:pBdr>
        <w:spacing w:after="70" w:before="190"/>
      </w:pPr>
      <w:r>
        <w:rPr>
          <w:rFonts w:ascii="Georgia" w:cs="Georgia" w:eastAsia="Georgia" w:hAnsi="Georgia"/>
          <w:b/>
          <w:bCs/>
          <w:color w:val="092B49"/>
          <w:sz w:val="25"/>
          <w:szCs w:val="25"/>
        </w:rPr>
        <w:t xml:space="preserve">11.  Scheduled reports and concierge research</w:t>
      </w:r>
    </w:p>
    <w:p>
      <w:pPr>
        <w:pStyle w:val="ListParagraph"/>
        <w:numPr>
          <w:ilvl w:val="0"/>
          <w:numId w:val="2"/>
        </w:numPr>
        <w:spacing w:after="36"/>
      </w:pPr>
      <w:r>
        <w:rPr>
          <w:rFonts w:ascii="Calibri" w:cs="Calibri" w:eastAsia="Calibri" w:hAnsi="Calibri"/>
          <w:color w:val="1E293B"/>
          <w:sz w:val="20"/>
          <w:szCs w:val="20"/>
        </w:rPr>
        <w:t xml:space="preserve">Reports can be scheduled on any cadence and arrive as a branded PDF carrying your firm's identity.</w:t>
      </w:r>
    </w:p>
    <w:p>
      <w:pPr>
        <w:pStyle w:val="ListParagraph"/>
        <w:numPr>
          <w:ilvl w:val="0"/>
          <w:numId w:val="2"/>
        </w:numPr>
        <w:spacing w:after="36"/>
      </w:pPr>
      <w:r>
        <w:rPr>
          <w:rFonts w:ascii="Calibri" w:cs="Calibri" w:eastAsia="Calibri" w:hAnsi="Calibri"/>
          <w:color w:val="1E293B"/>
          <w:sz w:val="20"/>
          <w:szCs w:val="20"/>
        </w:rPr>
        <w:t xml:space="preserve">Concierge research monitors the live web for whatever a client has asked you to watch, with sources cited.</w:t>
      </w:r>
    </w:p>
    <w:p>
      <w:pPr>
        <w:pStyle w:val="ListParagraph"/>
        <w:numPr>
          <w:ilvl w:val="0"/>
          <w:numId w:val="2"/>
        </w:numPr>
        <w:spacing w:after="36"/>
      </w:pPr>
      <w:r>
        <w:rPr>
          <w:rFonts w:ascii="Calibri" w:cs="Calibri" w:eastAsia="Calibri" w:hAnsi="Calibri"/>
          <w:color w:val="1E293B"/>
          <w:sz w:val="20"/>
          <w:szCs w:val="20"/>
        </w:rPr>
        <w:t xml:space="preserve">Run any report on demand to see exactly what a recipient will receive before scheduling it.</w:t>
      </w:r>
    </w:p>
    <w:p>
      <w:pPr>
        <w:keepNext/>
        <w:pBdr>
          <w:bottom w:val="single" w:color="CEB684" w:sz="8"/>
        </w:pBdr>
        <w:spacing w:after="70" w:before="190"/>
      </w:pPr>
      <w:r>
        <w:rPr>
          <w:rFonts w:ascii="Georgia" w:cs="Georgia" w:eastAsia="Georgia" w:hAnsi="Georgia"/>
          <w:b/>
          <w:bCs/>
          <w:color w:val="092B49"/>
          <w:sz w:val="25"/>
          <w:szCs w:val="25"/>
        </w:rPr>
        <w:t xml:space="preserve">12.  Tasks and deadlines</w:t>
      </w:r>
    </w:p>
    <w:p>
      <w:pPr>
        <w:pStyle w:val="ListParagraph"/>
        <w:numPr>
          <w:ilvl w:val="0"/>
          <w:numId w:val="2"/>
        </w:numPr>
        <w:spacing w:after="36"/>
      </w:pPr>
      <w:r>
        <w:rPr>
          <w:rFonts w:ascii="Calibri" w:cs="Calibri" w:eastAsia="Calibri" w:hAnsi="Calibri"/>
          <w:color w:val="1E293B"/>
          <w:sz w:val="20"/>
          <w:szCs w:val="20"/>
        </w:rPr>
        <w:t xml:space="preserve">Tasks and deadlines are recorded against a household, surface on the dashboard as they approach, and generate reminders.</w:t>
      </w:r>
    </w:p>
    <w:p>
      <w:pPr>
        <w:keepNext/>
        <w:pBdr>
          <w:bottom w:val="single" w:color="CEB684" w:sz="8"/>
        </w:pBdr>
        <w:spacing w:after="70" w:before="190"/>
      </w:pPr>
      <w:r>
        <w:rPr>
          <w:rFonts w:ascii="Georgia" w:cs="Georgia" w:eastAsia="Georgia" w:hAnsi="Georgia"/>
          <w:b/>
          <w:bCs/>
          <w:color w:val="092B49"/>
          <w:sz w:val="25"/>
          <w:szCs w:val="25"/>
        </w:rPr>
        <w:t xml:space="preserve">13.  What the household sees</w:t>
      </w:r>
    </w:p>
    <w:p>
      <w:pPr>
        <w:pStyle w:val="ListParagraph"/>
        <w:numPr>
          <w:ilvl w:val="0"/>
          <w:numId w:val="2"/>
        </w:numPr>
        <w:spacing w:after="36"/>
      </w:pPr>
      <w:r>
        <w:rPr>
          <w:rFonts w:ascii="Calibri" w:cs="Calibri" w:eastAsia="Calibri" w:hAnsi="Calibri"/>
          <w:color w:val="1E293B"/>
          <w:sz w:val="20"/>
          <w:szCs w:val="20"/>
        </w:rPr>
        <w:t xml:space="preserve">Households get a read-only portal carrying your firm's brand: net worth, properties, accounts, valuables and documents.</w:t>
      </w:r>
    </w:p>
    <w:p>
      <w:pPr>
        <w:pStyle w:val="ListParagraph"/>
        <w:numPr>
          <w:ilvl w:val="0"/>
          <w:numId w:val="2"/>
        </w:numPr>
        <w:spacing w:after="36"/>
      </w:pPr>
      <w:r>
        <w:rPr>
          <w:rFonts w:ascii="Calibri" w:cs="Calibri" w:eastAsia="Calibri" w:hAnsi="Calibri"/>
          <w:color w:val="1E293B"/>
          <w:sz w:val="20"/>
          <w:szCs w:val="20"/>
        </w:rPr>
        <w:t xml:space="preserve">They can email their adviser from inside it, with the primary adviser always copied, and cannot reach other advisers at your firm.</w:t>
      </w:r>
    </w:p>
    <w:p>
      <w:pPr>
        <w:pStyle w:val="ListParagraph"/>
        <w:numPr>
          <w:ilvl w:val="0"/>
          <w:numId w:val="2"/>
        </w:numPr>
        <w:spacing w:after="36"/>
      </w:pPr>
      <w:r>
        <w:rPr>
          <w:rFonts w:ascii="Calibri" w:cs="Calibri" w:eastAsia="Calibri" w:hAnsi="Calibri"/>
          <w:color w:val="1E293B"/>
          <w:sz w:val="20"/>
          <w:szCs w:val="20"/>
        </w:rPr>
        <w:t xml:space="preserve">Bills your firm settled on their behalf show as paid, with the date.</w:t>
      </w:r>
    </w:p>
    <w:p>
      <w:pPr>
        <w:pStyle w:val="ListParagraph"/>
        <w:numPr>
          <w:ilvl w:val="0"/>
          <w:numId w:val="2"/>
        </w:numPr>
        <w:spacing w:after="36"/>
      </w:pPr>
      <w:r>
        <w:rPr>
          <w:rFonts w:ascii="Calibri" w:cs="Calibri" w:eastAsia="Calibri" w:hAnsi="Calibri"/>
          <w:color w:val="1E293B"/>
          <w:sz w:val="20"/>
          <w:szCs w:val="20"/>
        </w:rPr>
        <w:t xml:space="preserve">It works properly on a phone, which is where most clients will look at it.</w:t>
      </w:r>
    </w:p>
    <w:p>
      <w:pPr>
        <w:keepNext/>
        <w:pBdr>
          <w:bottom w:val="single" w:color="CEB684" w:sz="8"/>
        </w:pBdr>
        <w:spacing w:after="70" w:before="190"/>
      </w:pPr>
      <w:r>
        <w:rPr>
          <w:rFonts w:ascii="Georgia" w:cs="Georgia" w:eastAsia="Georgia" w:hAnsi="Georgia"/>
          <w:b/>
          <w:bCs/>
          <w:color w:val="092B49"/>
          <w:sz w:val="25"/>
          <w:szCs w:val="25"/>
        </w:rPr>
        <w:t xml:space="preserve">14.  Branding and the firm's identity</w:t>
      </w:r>
    </w:p>
    <w:p>
      <w:pPr>
        <w:pStyle w:val="ListParagraph"/>
        <w:numPr>
          <w:ilvl w:val="0"/>
          <w:numId w:val="2"/>
        </w:numPr>
        <w:spacing w:after="36"/>
      </w:pPr>
      <w:r>
        <w:rPr>
          <w:rFonts w:ascii="Calibri" w:cs="Calibri" w:eastAsia="Calibri" w:hAnsi="Calibri"/>
          <w:color w:val="1E293B"/>
          <w:sz w:val="20"/>
          <w:szCs w:val="20"/>
        </w:rPr>
        <w:t xml:space="preserve">The platform carries your firm's name, logo, tagline and colours throughout — including exported PDFs, reports, outbound email, and the preview that appears when someone shares a link.</w:t>
      </w:r>
    </w:p>
    <w:p>
      <w:pPr>
        <w:pStyle w:val="ListParagraph"/>
        <w:numPr>
          <w:ilvl w:val="0"/>
          <w:numId w:val="2"/>
        </w:numPr>
        <w:spacing w:after="36"/>
      </w:pPr>
      <w:r>
        <w:rPr>
          <w:rFonts w:ascii="Calibri" w:cs="Calibri" w:eastAsia="Calibri" w:hAnsi="Calibri"/>
          <w:color w:val="1E293B"/>
          <w:sz w:val="20"/>
          <w:szCs w:val="20"/>
        </w:rPr>
        <w:t xml:space="preserve">Correspondence is sent from your own verified domain, as the responsible adviser, so a banker or trustee sees the person they deal with.</w:t>
      </w:r>
    </w:p>
    <w:p>
      <w:pPr>
        <w:pStyle w:val="ListParagraph"/>
        <w:numPr>
          <w:ilvl w:val="0"/>
          <w:numId w:val="2"/>
        </w:numPr>
        <w:spacing w:after="36"/>
      </w:pPr>
      <w:r>
        <w:rPr>
          <w:rFonts w:ascii="Calibri" w:cs="Calibri" w:eastAsia="Calibri" w:hAnsi="Calibri"/>
          <w:color w:val="1E293B"/>
          <w:sz w:val="20"/>
          <w:szCs w:val="20"/>
        </w:rPr>
        <w:t xml:space="preserve">Your environment is yours alone: a separate database, a separate document store, your own assistant. Nothing is shared with another firm.</w:t>
      </w:r>
    </w:p>
    <w:p>
      <w:r>
        <w:br w:type="page"/>
      </w:r>
    </w:p>
    <w:p>
      <w:pPr>
        <w:keepNext/>
        <w:pBdr>
          <w:bottom w:val="single" w:color="CEB684" w:sz="8"/>
        </w:pBdr>
        <w:spacing w:after="70" w:before="190"/>
      </w:pPr>
      <w:r>
        <w:rPr>
          <w:rFonts w:ascii="Georgia" w:cs="Georgia" w:eastAsia="Georgia" w:hAnsi="Georgia"/>
          <w:b/>
          <w:bCs/>
          <w:color w:val="092B49"/>
          <w:sz w:val="25"/>
          <w:szCs w:val="25"/>
        </w:rPr>
        <w:t xml:space="preserve">What the platform will not do</w:t>
      </w:r>
    </w:p>
    <w:p>
      <w:pPr>
        <w:spacing w:after="110" w:before="0"/>
      </w:pPr>
      <w:r>
        <w:rPr>
          <w:rFonts w:ascii="Calibri" w:cs="Calibri" w:eastAsia="Calibri" w:hAnsi="Calibri"/>
          <w:color w:val="1E293B"/>
          <w:sz w:val="21"/>
          <w:szCs w:val="21"/>
        </w:rPr>
        <w:t xml:space="preserve">Worth knowing plainly, because these are the questions your clients and your compliance function will ask.</w:t>
      </w:r>
    </w:p>
    <w:p>
      <w:pPr>
        <w:pStyle w:val="ListParagraph"/>
        <w:numPr>
          <w:ilvl w:val="0"/>
          <w:numId w:val="2"/>
        </w:numPr>
        <w:spacing w:after="36"/>
      </w:pPr>
      <w:r>
        <w:rPr>
          <w:rFonts w:ascii="Calibri" w:cs="Calibri" w:eastAsia="Calibri" w:hAnsi="Calibri"/>
          <w:color w:val="1E293B"/>
          <w:sz w:val="20"/>
          <w:szCs w:val="20"/>
        </w:rPr>
        <w:t xml:space="preserve">It does not send anything on its own. Every outbound item waits for one of your advisers to approve it, and the approval is recorded against them by name.</w:t>
      </w:r>
    </w:p>
    <w:p>
      <w:pPr>
        <w:pStyle w:val="ListParagraph"/>
        <w:numPr>
          <w:ilvl w:val="0"/>
          <w:numId w:val="2"/>
        </w:numPr>
        <w:spacing w:after="36"/>
      </w:pPr>
      <w:r>
        <w:rPr>
          <w:rFonts w:ascii="Calibri" w:cs="Calibri" w:eastAsia="Calibri" w:hAnsi="Calibri"/>
          <w:color w:val="1E293B"/>
          <w:sz w:val="20"/>
          <w:szCs w:val="20"/>
        </w:rPr>
        <w:t xml:space="preserve">It does not move money. It prepares instructions for your firm to submit under its own authority.</w:t>
      </w:r>
    </w:p>
    <w:p>
      <w:pPr>
        <w:pStyle w:val="ListParagraph"/>
        <w:numPr>
          <w:ilvl w:val="0"/>
          <w:numId w:val="2"/>
        </w:numPr>
        <w:spacing w:after="36"/>
      </w:pPr>
      <w:r>
        <w:rPr>
          <w:rFonts w:ascii="Calibri" w:cs="Calibri" w:eastAsia="Calibri" w:hAnsi="Calibri"/>
          <w:color w:val="1E293B"/>
          <w:sz w:val="20"/>
          <w:szCs w:val="20"/>
        </w:rPr>
        <w:t xml:space="preserve">It does not invent figures. Anything it cannot establish from your records is marked for an adviser to complete.</w:t>
      </w:r>
    </w:p>
    <w:p>
      <w:pPr>
        <w:pStyle w:val="ListParagraph"/>
        <w:numPr>
          <w:ilvl w:val="0"/>
          <w:numId w:val="2"/>
        </w:numPr>
        <w:spacing w:after="36"/>
      </w:pPr>
      <w:r>
        <w:rPr>
          <w:rFonts w:ascii="Calibri" w:cs="Calibri" w:eastAsia="Calibri" w:hAnsi="Calibri"/>
          <w:color w:val="1E293B"/>
          <w:sz w:val="20"/>
          <w:szCs w:val="20"/>
        </w:rPr>
        <w:t xml:space="preserve">It does not follow instructions found inside documents. Uploaded material is treated as information to read, not direction to act on.</w:t>
      </w:r>
    </w:p>
    <w:p>
      <w:pPr>
        <w:pStyle w:val="ListParagraph"/>
        <w:numPr>
          <w:ilvl w:val="0"/>
          <w:numId w:val="2"/>
        </w:numPr>
        <w:spacing w:after="36"/>
      </w:pPr>
      <w:r>
        <w:rPr>
          <w:rFonts w:ascii="Calibri" w:cs="Calibri" w:eastAsia="Calibri" w:hAnsi="Calibri"/>
          <w:color w:val="1E293B"/>
          <w:sz w:val="20"/>
          <w:szCs w:val="20"/>
        </w:rPr>
        <w:t xml:space="preserve">It does not send to an address you have no record of without an adviser explicitly confirming it first.</w:t>
      </w:r>
    </w:p>
    <w:p>
      <w:pPr>
        <w:pStyle w:val="ListParagraph"/>
        <w:numPr>
          <w:ilvl w:val="0"/>
          <w:numId w:val="2"/>
        </w:numPr>
        <w:spacing w:after="36"/>
      </w:pPr>
      <w:r>
        <w:rPr>
          <w:rFonts w:ascii="Calibri" w:cs="Calibri" w:eastAsia="Calibri" w:hAnsi="Calibri"/>
          <w:color w:val="1E293B"/>
          <w:sz w:val="20"/>
          <w:szCs w:val="20"/>
        </w:rPr>
        <w:t xml:space="preserve">It does not let one adviser see another's book, or one firm see another's clients. Your environment is separate at the database level.</w:t>
      </w:r>
    </w:p>
    <w:p>
      <w:pPr>
        <w:keepNext/>
        <w:pBdr>
          <w:bottom w:val="single" w:color="CEB684" w:sz="8"/>
        </w:pBdr>
        <w:spacing w:after="70" w:before="190"/>
      </w:pPr>
      <w:r>
        <w:rPr>
          <w:rFonts w:ascii="Georgia" w:cs="Georgia" w:eastAsia="Georgia" w:hAnsi="Georgia"/>
          <w:b/>
          <w:bCs/>
          <w:color w:val="092B49"/>
          <w:sz w:val="25"/>
          <w:szCs w:val="25"/>
        </w:rPr>
        <w:t xml:space="preserve">Before you go live</w:t>
      </w:r>
    </w:p>
    <w:p>
      <w:pPr>
        <w:pStyle w:val="ListParagraph"/>
        <w:numPr>
          <w:ilvl w:val="0"/>
          <w:numId w:val="2"/>
        </w:numPr>
        <w:spacing w:after="36"/>
      </w:pPr>
      <w:r>
        <w:rPr>
          <w:rFonts w:ascii="Calibri" w:cs="Calibri" w:eastAsia="Calibri" w:hAnsi="Calibri"/>
          <w:color w:val="1E293B"/>
          <w:sz w:val="20"/>
          <w:szCs w:val="20"/>
        </w:rPr>
        <w:t xml:space="preserve">Your sending domain is verified with the email provider. Until it is, your team can prepare and approve correspondence but not send it.</w:t>
      </w:r>
    </w:p>
    <w:p>
      <w:pPr>
        <w:pStyle w:val="ListParagraph"/>
        <w:numPr>
          <w:ilvl w:val="0"/>
          <w:numId w:val="2"/>
        </w:numPr>
        <w:spacing w:after="36"/>
      </w:pPr>
      <w:r>
        <w:rPr>
          <w:rFonts w:ascii="Calibri" w:cs="Calibri" w:eastAsia="Calibri" w:hAnsi="Calibri"/>
          <w:color w:val="1E293B"/>
          <w:sz w:val="20"/>
          <w:szCs w:val="20"/>
        </w:rPr>
        <w:t xml:space="preserve">Every adviser's email address sits on that verified domain.</w:t>
      </w:r>
    </w:p>
    <w:p>
      <w:pPr>
        <w:pStyle w:val="ListParagraph"/>
        <w:numPr>
          <w:ilvl w:val="0"/>
          <w:numId w:val="2"/>
        </w:numPr>
        <w:spacing w:after="36"/>
      </w:pPr>
      <w:r>
        <w:rPr>
          <w:rFonts w:ascii="Calibri" w:cs="Calibri" w:eastAsia="Calibri" w:hAnsi="Calibri"/>
          <w:color w:val="1E293B"/>
          <w:sz w:val="20"/>
          <w:szCs w:val="20"/>
        </w:rPr>
        <w:t xml:space="preserve">Each household has a responsible adviser and a designated primary contact.</w:t>
      </w:r>
    </w:p>
    <w:p>
      <w:pPr>
        <w:pStyle w:val="ListParagraph"/>
        <w:numPr>
          <w:ilvl w:val="0"/>
          <w:numId w:val="2"/>
        </w:numPr>
        <w:spacing w:after="36"/>
      </w:pPr>
      <w:r>
        <w:rPr>
          <w:rFonts w:ascii="Calibri" w:cs="Calibri" w:eastAsia="Calibri" w:hAnsi="Calibri"/>
          <w:color w:val="1E293B"/>
          <w:sz w:val="20"/>
          <w:szCs w:val="20"/>
        </w:rPr>
        <w:t xml:space="preserve">Your households' counterparties — bankers, trustees, carriers, accountants, fund administrators — are recorded, so correspondence to them is recognised rather than queried.</w:t>
      </w:r>
    </w:p>
    <w:p>
      <w:pPr>
        <w:pStyle w:val="ListParagraph"/>
        <w:numPr>
          <w:ilvl w:val="0"/>
          <w:numId w:val="2"/>
        </w:numPr>
        <w:spacing w:after="36"/>
      </w:pPr>
      <w:r>
        <w:rPr>
          <w:rFonts w:ascii="Calibri" w:cs="Calibri" w:eastAsia="Calibri" w:hAnsi="Calibri"/>
          <w:color w:val="1E293B"/>
          <w:sz w:val="20"/>
          <w:szCs w:val="20"/>
        </w:rPr>
        <w:t xml:space="preserve">Your team has read the playbooks you intend to run, and your counsel has confirmed the lead times for your jurisdiction.</w:t>
      </w:r>
    </w:p>
    <w:p>
      <w:pPr>
        <w:pBdr>
          <w:top w:val="single" w:color="CEB684" w:sz="6"/>
        </w:pBdr>
        <w:spacing w:before="300"/>
        <w:jc w:val="center"/>
      </w:pPr>
      <w:r>
        <w:rPr>
          <w:rFonts w:ascii="Calibri" w:cs="Calibri" w:eastAsia="Calibri" w:hAnsi="Calibri"/>
          <w:color w:val="5A6E84"/>
          <w:sz w:val="17"/>
          <w:szCs w:val="17"/>
        </w:rPr>
        <w:t xml:space="preserve">Platform Handbook  ·  For adviser teams  ·  Confidential</w:t>
      </w:r>
    </w:p>
    <w:sectPr>
      <w:pgSz w:w="12240" w:h="15840" w:orient="portrait"/>
      <w:pgMar w:top="850" w:right="950" w:bottom="8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4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2026-07-28T20:45:12.637Z</dcterms:created>
  <dcterms:modified xsi:type="dcterms:W3CDTF">2026-07-28T20:45:12.637Z</dcterms:modified>
</cp:coreProperties>
</file>

<file path=docProps/custom.xml><?xml version="1.0" encoding="utf-8"?>
<Properties xmlns="http://schemas.openxmlformats.org/officeDocument/2006/custom-properties" xmlns:vt="http://schemas.openxmlformats.org/officeDocument/2006/docPropsVTypes"/>
</file>