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Georgia" w:cs="Georgia" w:eastAsia="Georgia" w:hAnsi="Georgia"/>
          <w:b/>
          <w:bCs/>
          <w:color w:val="092B49"/>
          <w:sz w:val="44"/>
          <w:szCs w:val="44"/>
        </w:rPr>
        <w:t xml:space="preserve">TITANOS</w:t>
      </w:r>
    </w:p>
    <w:p>
      <w:pPr>
        <w:spacing w:after="40"/>
        <w:jc w:val="center"/>
      </w:pPr>
      <w:r>
        <w:rPr>
          <w:rFonts w:ascii="Calibri" w:cs="Calibri" w:eastAsia="Calibri" w:hAnsi="Calibri"/>
          <w:b/>
          <w:bCs/>
          <w:color w:val="CEB684"/>
          <w:sz w:val="15"/>
          <w:szCs w:val="15"/>
        </w:rPr>
        <w:t xml:space="preserve">P R I V A T E   W E A L T H   O P E R A T I N G   S Y S T E M</w:t>
      </w:r>
    </w:p>
    <w:p>
      <w:pPr>
        <w:pBdr>
          <w:top w:val="single" w:color="CEB684" w:sz="6"/>
        </w:pBdr>
        <w:spacing w:after="0" w:before="200"/>
        <w:jc w:val="center"/>
      </w:pPr>
      <w:r>
        <w:rPr>
          <w:rFonts w:ascii="Georgia" w:cs="Georgia" w:eastAsia="Georgia" w:hAnsi="Georgia"/>
          <w:b/>
          <w:bCs/>
          <w:color w:val="092B49"/>
          <w:sz w:val="31"/>
          <w:szCs w:val="31"/>
        </w:rPr>
        <w:t xml:space="preserve">Standard Operating Procedures</w:t>
      </w:r>
    </w:p>
    <w:p>
      <w:pPr>
        <w:spacing w:after="40"/>
        <w:jc w:val="center"/>
      </w:pPr>
      <w:r>
        <w:rPr>
          <w:rFonts w:ascii="Calibri" w:cs="Calibri" w:eastAsia="Calibri" w:hAnsi="Calibri"/>
          <w:color w:val="5A6E84"/>
          <w:sz w:val="18"/>
          <w:szCs w:val="18"/>
        </w:rPr>
        <w:t xml:space="preserve">Every capability, how to run it, and what goes wrong</w:t>
      </w:r>
    </w:p>
    <w:p>
      <w:pPr>
        <w:spacing w:after="110"/>
        <w:jc w:val="center"/>
      </w:pPr>
      <w:r>
        <w:rPr>
          <w:rFonts w:ascii="Calibri" w:cs="Calibri" w:eastAsia="Calibri" w:hAnsi="Calibri"/>
          <w:b/>
          <w:bCs/>
          <w:color w:val="8B1A1A"/>
          <w:sz w:val="18"/>
          <w:szCs w:val="18"/>
        </w:rPr>
        <w:t xml:space="preserve">Internal — TitanOS and PCM staff.  Not for circulation.</w:t>
      </w:r>
    </w:p>
    <w:p>
      <w:pPr>
        <w:spacing w:after="70" w:before="0"/>
      </w:pPr>
      <w:r>
        <w:rPr>
          <w:rFonts w:ascii="Calibri" w:cs="Calibri" w:eastAsia="Calibri" w:hAnsi="Calibri"/>
          <w:color w:val="1E293B"/>
          <w:sz w:val="20"/>
          <w:szCs w:val="20"/>
        </w:rPr>
        <w:t xml:space="preserve">One section per area of the platform, in the order you would meet them working a household. Each covers what the capability is for, the procedure, what to check before you move on, and the traps — the things that have actually caught someone.</w:t>
      </w:r>
    </w:p>
    <w:p>
      <w:pPr>
        <w:spacing w:after="70" w:before="0"/>
      </w:pPr>
      <w:r>
        <w:rPr>
          <w:rFonts w:ascii="Calibri" w:cs="Calibri" w:eastAsia="Calibri" w:hAnsi="Calibri"/>
          <w:color w:val="1E293B"/>
          <w:sz w:val="20"/>
          <w:szCs w:val="20"/>
        </w:rPr>
        <w:t xml:space="preserve">Where a procedure says the platform refuses to do something, that refusal is deliberate and enforced. It is not a bug to be worked around, and the reason is given so you can explain it to a client or a compliance officer.</w:t>
      </w:r>
    </w:p>
    <w:p>
      <w:pPr>
        <w:spacing w:after="70" w:before="0"/>
      </w:pPr>
      <w:r>
        <w:rPr>
          <w:rFonts w:ascii="Calibri" w:cs="Calibri" w:eastAsia="Calibri" w:hAnsi="Calibri"/>
          <w:i/>
          <w:iCs/>
          <w:color w:val="5A6E84"/>
          <w:sz w:val="18"/>
          <w:szCs w:val="18"/>
        </w:rPr>
        <w:t xml:space="preserve">Revised 28 July 2026.</w:t>
      </w:r>
    </w:p>
    <w:p>
      <w:pPr>
        <w:keepNext/>
        <w:pBdr>
          <w:bottom w:val="single" w:color="CEB684" w:sz="8"/>
        </w:pBdr>
        <w:spacing w:after="70" w:before="190"/>
      </w:pPr>
      <w:r>
        <w:rPr>
          <w:rFonts w:ascii="Georgia" w:cs="Georgia" w:eastAsia="Georgia" w:hAnsi="Georgia"/>
          <w:b/>
          <w:bCs/>
          <w:color w:val="092B49"/>
          <w:sz w:val="25"/>
          <w:szCs w:val="25"/>
        </w:rPr>
        <w:t xml:space="preserve">Contents</w:t>
      </w:r>
    </w:p>
    <w:p>
      <w:pPr>
        <w:spacing w:after="60" w:before="0"/>
      </w:pPr>
      <w:r>
        <w:rPr>
          <w:rFonts w:ascii="Calibri" w:cs="Calibri" w:eastAsia="Calibri" w:hAnsi="Calibri"/>
          <w:color w:val="5A6E84"/>
          <w:sz w:val="19"/>
          <w:szCs w:val="19"/>
        </w:rPr>
        <w:t xml:space="preserve">14 capability areas.</w:t>
      </w:r>
    </w:p>
    <w:p>
      <w:pPr>
        <w:spacing w:after="22"/>
        <w:ind w:left="200" w:hanging="200"/>
      </w:pPr>
      <w:r>
        <w:rPr>
          <w:rFonts w:ascii="Calibri" w:cs="Calibri" w:eastAsia="Calibri" w:hAnsi="Calibri"/>
          <w:b/>
          <w:bCs/>
          <w:color w:val="CEB684"/>
          <w:sz w:val="19"/>
          <w:szCs w:val="19"/>
        </w:rPr>
        <w:t xml:space="preserve"> 1   </w:t>
      </w:r>
      <w:r>
        <w:rPr>
          <w:rFonts w:ascii="Calibri" w:cs="Calibri" w:eastAsia="Calibri" w:hAnsi="Calibri"/>
          <w:color w:val="1E293B"/>
          <w:sz w:val="20"/>
          <w:szCs w:val="20"/>
        </w:rPr>
        <w:t xml:space="preserve">Roles and what each can do</w:t>
      </w:r>
    </w:p>
    <w:p>
      <w:pPr>
        <w:spacing w:after="22"/>
        <w:ind w:left="200" w:hanging="200"/>
      </w:pPr>
      <w:r>
        <w:rPr>
          <w:rFonts w:ascii="Calibri" w:cs="Calibri" w:eastAsia="Calibri" w:hAnsi="Calibri"/>
          <w:b/>
          <w:bCs/>
          <w:color w:val="CEB684"/>
          <w:sz w:val="19"/>
          <w:szCs w:val="19"/>
        </w:rPr>
        <w:t xml:space="preserve"> 2   </w:t>
      </w:r>
      <w:r>
        <w:rPr>
          <w:rFonts w:ascii="Calibri" w:cs="Calibri" w:eastAsia="Calibri" w:hAnsi="Calibri"/>
          <w:color w:val="1E293B"/>
          <w:sz w:val="20"/>
          <w:szCs w:val="20"/>
        </w:rPr>
        <w:t xml:space="preserve">Households and their people</w:t>
      </w:r>
    </w:p>
    <w:p>
      <w:pPr>
        <w:spacing w:after="22"/>
        <w:ind w:left="200" w:hanging="200"/>
      </w:pPr>
      <w:r>
        <w:rPr>
          <w:rFonts w:ascii="Calibri" w:cs="Calibri" w:eastAsia="Calibri" w:hAnsi="Calibri"/>
          <w:b/>
          <w:bCs/>
          <w:color w:val="CEB684"/>
          <w:sz w:val="19"/>
          <w:szCs w:val="19"/>
        </w:rPr>
        <w:t xml:space="preserve"> 3   </w:t>
      </w:r>
      <w:r>
        <w:rPr>
          <w:rFonts w:ascii="Calibri" w:cs="Calibri" w:eastAsia="Calibri" w:hAnsi="Calibri"/>
          <w:color w:val="1E293B"/>
          <w:sz w:val="20"/>
          <w:szCs w:val="20"/>
        </w:rPr>
        <w:t xml:space="preserve">Properties and the documents behind them</w:t>
      </w:r>
    </w:p>
    <w:p>
      <w:pPr>
        <w:spacing w:after="22"/>
        <w:ind w:left="200" w:hanging="200"/>
      </w:pPr>
      <w:r>
        <w:rPr>
          <w:rFonts w:ascii="Calibri" w:cs="Calibri" w:eastAsia="Calibri" w:hAnsi="Calibri"/>
          <w:b/>
          <w:bCs/>
          <w:color w:val="CEB684"/>
          <w:sz w:val="19"/>
          <w:szCs w:val="19"/>
        </w:rPr>
        <w:t xml:space="preserve"> 4   </w:t>
      </w:r>
      <w:r>
        <w:rPr>
          <w:rFonts w:ascii="Calibri" w:cs="Calibri" w:eastAsia="Calibri" w:hAnsi="Calibri"/>
          <w:color w:val="1E293B"/>
          <w:sz w:val="20"/>
          <w:szCs w:val="20"/>
        </w:rPr>
        <w:t xml:space="preserve">Portfolio accounts, statements and balances</w:t>
      </w:r>
    </w:p>
    <w:p>
      <w:pPr>
        <w:spacing w:after="22"/>
        <w:ind w:left="200" w:hanging="200"/>
      </w:pPr>
      <w:r>
        <w:rPr>
          <w:rFonts w:ascii="Calibri" w:cs="Calibri" w:eastAsia="Calibri" w:hAnsi="Calibri"/>
          <w:b/>
          <w:bCs/>
          <w:color w:val="CEB684"/>
          <w:sz w:val="19"/>
          <w:szCs w:val="19"/>
        </w:rPr>
        <w:t xml:space="preserve"> 5   </w:t>
      </w:r>
      <w:r>
        <w:rPr>
          <w:rFonts w:ascii="Calibri" w:cs="Calibri" w:eastAsia="Calibri" w:hAnsi="Calibri"/>
          <w:color w:val="1E293B"/>
          <w:sz w:val="20"/>
          <w:szCs w:val="20"/>
        </w:rPr>
        <w:t xml:space="preserve">Valuables</w:t>
      </w:r>
    </w:p>
    <w:p>
      <w:pPr>
        <w:spacing w:after="22"/>
        <w:ind w:left="200" w:hanging="200"/>
      </w:pPr>
      <w:r>
        <w:rPr>
          <w:rFonts w:ascii="Calibri" w:cs="Calibri" w:eastAsia="Calibri" w:hAnsi="Calibri"/>
          <w:b/>
          <w:bCs/>
          <w:color w:val="CEB684"/>
          <w:sz w:val="19"/>
          <w:szCs w:val="19"/>
        </w:rPr>
        <w:t xml:space="preserve"> 6   </w:t>
      </w:r>
      <w:r>
        <w:rPr>
          <w:rFonts w:ascii="Calibri" w:cs="Calibri" w:eastAsia="Calibri" w:hAnsi="Calibri"/>
          <w:color w:val="1E293B"/>
          <w:sz w:val="20"/>
          <w:szCs w:val="20"/>
        </w:rPr>
        <w:t xml:space="preserve">Cash flow</w:t>
      </w:r>
    </w:p>
    <w:p>
      <w:pPr>
        <w:spacing w:after="22"/>
        <w:ind w:left="200" w:hanging="200"/>
      </w:pPr>
      <w:r>
        <w:rPr>
          <w:rFonts w:ascii="Calibri" w:cs="Calibri" w:eastAsia="Calibri" w:hAnsi="Calibri"/>
          <w:b/>
          <w:bCs/>
          <w:color w:val="CEB684"/>
          <w:sz w:val="19"/>
          <w:szCs w:val="19"/>
        </w:rPr>
        <w:t xml:space="preserve"> 7   </w:t>
      </w:r>
      <w:r>
        <w:rPr>
          <w:rFonts w:ascii="Calibri" w:cs="Calibri" w:eastAsia="Calibri" w:hAnsi="Calibri"/>
          <w:color w:val="1E293B"/>
          <w:sz w:val="20"/>
          <w:szCs w:val="20"/>
        </w:rPr>
        <w:t xml:space="preserve">The Vault</w:t>
      </w:r>
    </w:p>
    <w:p>
      <w:pPr>
        <w:spacing w:after="22"/>
        <w:ind w:left="200" w:hanging="200"/>
      </w:pPr>
      <w:r>
        <w:rPr>
          <w:rFonts w:ascii="Calibri" w:cs="Calibri" w:eastAsia="Calibri" w:hAnsi="Calibri"/>
          <w:b/>
          <w:bCs/>
          <w:color w:val="CEB684"/>
          <w:sz w:val="19"/>
          <w:szCs w:val="19"/>
        </w:rPr>
        <w:t xml:space="preserve"> 8   </w:t>
      </w:r>
      <w:r>
        <w:rPr>
          <w:rFonts w:ascii="Calibri" w:cs="Calibri" w:eastAsia="Calibri" w:hAnsi="Calibri"/>
          <w:color w:val="1E293B"/>
          <w:sz w:val="20"/>
          <w:szCs w:val="20"/>
        </w:rPr>
        <w:t xml:space="preserve">Obligations and workflow cycles</w:t>
      </w:r>
    </w:p>
    <w:p>
      <w:pPr>
        <w:spacing w:after="22"/>
        <w:ind w:left="200" w:hanging="200"/>
      </w:pPr>
      <w:r>
        <w:rPr>
          <w:rFonts w:ascii="Calibri" w:cs="Calibri" w:eastAsia="Calibri" w:hAnsi="Calibri"/>
          <w:b/>
          <w:bCs/>
          <w:color w:val="CEB684"/>
          <w:sz w:val="19"/>
          <w:szCs w:val="19"/>
        </w:rPr>
        <w:t xml:space="preserve"> 9   </w:t>
      </w:r>
      <w:r>
        <w:rPr>
          <w:rFonts w:ascii="Calibri" w:cs="Calibri" w:eastAsia="Calibri" w:hAnsi="Calibri"/>
          <w:color w:val="1E293B"/>
          <w:sz w:val="20"/>
          <w:szCs w:val="20"/>
        </w:rPr>
        <w:t xml:space="preserve">Preparing, approving and sending correspondence</w:t>
      </w:r>
    </w:p>
    <w:p>
      <w:pPr>
        <w:spacing w:after="22"/>
        <w:ind w:left="200" w:hanging="200"/>
      </w:pPr>
      <w:r>
        <w:rPr>
          <w:rFonts w:ascii="Calibri" w:cs="Calibri" w:eastAsia="Calibri" w:hAnsi="Calibri"/>
          <w:b/>
          <w:bCs/>
          <w:color w:val="CEB684"/>
          <w:sz w:val="19"/>
          <w:szCs w:val="19"/>
        </w:rPr>
        <w:t xml:space="preserve">10   </w:t>
      </w:r>
      <w:r>
        <w:rPr>
          <w:rFonts w:ascii="Calibri" w:cs="Calibri" w:eastAsia="Calibri" w:hAnsi="Calibri"/>
          <w:color w:val="1E293B"/>
          <w:sz w:val="20"/>
          <w:szCs w:val="20"/>
        </w:rPr>
        <w:t xml:space="preserve">The assistant</w:t>
      </w:r>
    </w:p>
    <w:p>
      <w:pPr>
        <w:spacing w:after="22"/>
        <w:ind w:left="200" w:hanging="200"/>
      </w:pPr>
      <w:r>
        <w:rPr>
          <w:rFonts w:ascii="Calibri" w:cs="Calibri" w:eastAsia="Calibri" w:hAnsi="Calibri"/>
          <w:b/>
          <w:bCs/>
          <w:color w:val="CEB684"/>
          <w:sz w:val="19"/>
          <w:szCs w:val="19"/>
        </w:rPr>
        <w:t xml:space="preserve">11   </w:t>
      </w:r>
      <w:r>
        <w:rPr>
          <w:rFonts w:ascii="Calibri" w:cs="Calibri" w:eastAsia="Calibri" w:hAnsi="Calibri"/>
          <w:color w:val="1E293B"/>
          <w:sz w:val="20"/>
          <w:szCs w:val="20"/>
        </w:rPr>
        <w:t xml:space="preserve">Scheduled reports and concierge research</w:t>
      </w:r>
    </w:p>
    <w:p>
      <w:pPr>
        <w:spacing w:after="22"/>
        <w:ind w:left="200" w:hanging="200"/>
      </w:pPr>
      <w:r>
        <w:rPr>
          <w:rFonts w:ascii="Calibri" w:cs="Calibri" w:eastAsia="Calibri" w:hAnsi="Calibri"/>
          <w:b/>
          <w:bCs/>
          <w:color w:val="CEB684"/>
          <w:sz w:val="19"/>
          <w:szCs w:val="19"/>
        </w:rPr>
        <w:t xml:space="preserve">12   </w:t>
      </w:r>
      <w:r>
        <w:rPr>
          <w:rFonts w:ascii="Calibri" w:cs="Calibri" w:eastAsia="Calibri" w:hAnsi="Calibri"/>
          <w:color w:val="1E293B"/>
          <w:sz w:val="20"/>
          <w:szCs w:val="20"/>
        </w:rPr>
        <w:t xml:space="preserve">Tasks and deadlines</w:t>
      </w:r>
    </w:p>
    <w:p>
      <w:pPr>
        <w:spacing w:after="22"/>
        <w:ind w:left="200" w:hanging="200"/>
      </w:pPr>
      <w:r>
        <w:rPr>
          <w:rFonts w:ascii="Calibri" w:cs="Calibri" w:eastAsia="Calibri" w:hAnsi="Calibri"/>
          <w:b/>
          <w:bCs/>
          <w:color w:val="CEB684"/>
          <w:sz w:val="19"/>
          <w:szCs w:val="19"/>
        </w:rPr>
        <w:t xml:space="preserve">13   </w:t>
      </w:r>
      <w:r>
        <w:rPr>
          <w:rFonts w:ascii="Calibri" w:cs="Calibri" w:eastAsia="Calibri" w:hAnsi="Calibri"/>
          <w:color w:val="1E293B"/>
          <w:sz w:val="20"/>
          <w:szCs w:val="20"/>
        </w:rPr>
        <w:t xml:space="preserve">What the household sees</w:t>
      </w:r>
    </w:p>
    <w:p>
      <w:pPr>
        <w:spacing w:after="22"/>
        <w:ind w:left="200" w:hanging="200"/>
      </w:pPr>
      <w:r>
        <w:rPr>
          <w:rFonts w:ascii="Calibri" w:cs="Calibri" w:eastAsia="Calibri" w:hAnsi="Calibri"/>
          <w:b/>
          <w:bCs/>
          <w:color w:val="CEB684"/>
          <w:sz w:val="19"/>
          <w:szCs w:val="19"/>
        </w:rPr>
        <w:t xml:space="preserve">14   </w:t>
      </w:r>
      <w:r>
        <w:rPr>
          <w:rFonts w:ascii="Calibri" w:cs="Calibri" w:eastAsia="Calibri" w:hAnsi="Calibri"/>
          <w:color w:val="1E293B"/>
          <w:sz w:val="20"/>
          <w:szCs w:val="20"/>
        </w:rPr>
        <w:t xml:space="preserve">Branding and the firm's identity</w:t>
      </w:r>
    </w:p>
    <w:p>
      <w:pPr>
        <w:keepNext/>
        <w:pBdr>
          <w:bottom w:val="single" w:color="CEB684" w:sz="8"/>
        </w:pBdr>
        <w:spacing w:after="70" w:before="190"/>
      </w:pPr>
      <w:r>
        <w:rPr>
          <w:rFonts w:ascii="Georgia" w:cs="Georgia" w:eastAsia="Georgia" w:hAnsi="Georgia"/>
          <w:b/>
          <w:bCs/>
          <w:color w:val="092B49"/>
          <w:sz w:val="25"/>
          <w:szCs w:val="25"/>
        </w:rPr>
        <w:t xml:space="preserve">1.  Roles and what each can do</w:t>
      </w:r>
    </w:p>
    <w:p>
      <w:pPr>
        <w:spacing w:after="80" w:before="0"/>
      </w:pPr>
      <w:r>
        <w:rPr>
          <w:rFonts w:ascii="Calibri" w:cs="Calibri" w:eastAsia="Calibri" w:hAnsi="Calibri"/>
          <w:i/>
          <w:iCs/>
          <w:color w:val="5A6E84"/>
          <w:sz w:val="19"/>
          <w:szCs w:val="19"/>
        </w:rPr>
        <w:t xml:space="preserve">Every rule below is enforced inside the database, not just hidden in the menu. A person cannot reach data outside their role even by going around the screen.</w:t>
      </w:r>
    </w:p>
    <w:p>
      <w:pPr>
        <w:keepNext/>
        <w:spacing w:after="30" w:before="85"/>
      </w:pPr>
      <w:r>
        <w:rPr>
          <w:rFonts w:ascii="Calibri" w:cs="Calibri" w:eastAsia="Calibri" w:hAnsi="Calibri"/>
          <w:b/>
          <w:bCs/>
          <w:caps/>
          <w:color w:val="5A6E84"/>
          <w:sz w:val="15"/>
          <w:szCs w:val="15"/>
        </w:rPr>
        <w:t xml:space="preserve">Who can do what</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400"/>
        <w:gridCol w:w="7840"/>
      </w:tblGrid>
      <w:tr>
        <w:trPr>
          <w:tblHeader/>
        </w:trPr>
        <w:tc>
          <w:tcPr>
            <w:tcW w:type="dxa" w:w="2400"/>
            <w:tcBorders>
              <w:top w:val="single" w:color="D8CDB8" w:sz="4"/>
              <w:left w:val="single" w:color="D8CDB8" w:sz="4"/>
              <w:bottom w:val="single" w:color="D8CDB8" w:sz="4"/>
              <w:right w:val="single" w:color="D8CDB8" w:sz="4"/>
            </w:tcBorders>
            <w:shd w:fill="092B49" w:val="clear"/>
            <w:tcMar>
              <w:top w:type="dxa" w:w="50"/>
              <w:left w:type="dxa" w:w="100"/>
              <w:bottom w:type="dxa" w:w="50"/>
              <w:right w:type="dxa" w:w="100"/>
            </w:tcMar>
          </w:tcPr>
          <w:p>
            <w:r>
              <w:rPr>
                <w:rFonts w:ascii="Calibri" w:cs="Calibri" w:eastAsia="Calibri" w:hAnsi="Calibri"/>
                <w:b/>
                <w:bCs/>
                <w:color w:val="FFFFFF"/>
                <w:sz w:val="17"/>
                <w:szCs w:val="17"/>
              </w:rPr>
              <w:t xml:space="preserve">Role</w:t>
            </w:r>
          </w:p>
        </w:tc>
        <w:tc>
          <w:tcPr>
            <w:tcW w:type="dxa" w:w="7840"/>
            <w:tcBorders>
              <w:top w:val="single" w:color="D8CDB8" w:sz="4"/>
              <w:left w:val="single" w:color="D8CDB8" w:sz="4"/>
              <w:bottom w:val="single" w:color="D8CDB8" w:sz="4"/>
              <w:right w:val="single" w:color="D8CDB8" w:sz="4"/>
            </w:tcBorders>
            <w:shd w:fill="092B49" w:val="clear"/>
            <w:tcMar>
              <w:top w:type="dxa" w:w="50"/>
              <w:left w:type="dxa" w:w="100"/>
              <w:bottom w:type="dxa" w:w="50"/>
              <w:right w:type="dxa" w:w="100"/>
            </w:tcMar>
          </w:tcPr>
          <w:p>
            <w:r>
              <w:rPr>
                <w:rFonts w:ascii="Calibri" w:cs="Calibri" w:eastAsia="Calibri" w:hAnsi="Calibri"/>
                <w:b/>
                <w:bCs/>
                <w:color w:val="FFFFFF"/>
                <w:sz w:val="17"/>
                <w:szCs w:val="17"/>
              </w:rPr>
              <w:t xml:space="preserve">What they can reach</w:t>
            </w:r>
          </w:p>
        </w:tc>
      </w:tr>
      <w:tr>
        <w:tc>
          <w:tcPr>
            <w:tcW w:type="dxa" w:w="2400"/>
            <w:tcBorders>
              <w:top w:val="single" w:color="D8CDB8" w:sz="4"/>
              <w:left w:val="single" w:color="D8CDB8" w:sz="4"/>
              <w:bottom w:val="single" w:color="D8CDB8" w:sz="4"/>
              <w:right w:val="single" w:color="D8CDB8" w:sz="4"/>
            </w:tcBorders>
            <w:tcMar>
              <w:top w:type="dxa" w:w="48"/>
              <w:left w:type="dxa" w:w="100"/>
              <w:bottom w:type="dxa" w:w="48"/>
              <w:right w:type="dxa" w:w="100"/>
            </w:tcMar>
          </w:tcPr>
          <w:p>
            <w:pPr>
              <w:spacing w:after="0"/>
            </w:pPr>
            <w:r>
              <w:rPr>
                <w:rFonts w:ascii="Calibri" w:cs="Calibri" w:eastAsia="Calibri" w:hAnsi="Calibri"/>
                <w:b/>
                <w:bCs/>
                <w:color w:val="1E293B"/>
                <w:sz w:val="19"/>
                <w:szCs w:val="19"/>
              </w:rPr>
              <w:t xml:space="preserve">Administrator</w:t>
            </w:r>
          </w:p>
        </w:tc>
        <w:tc>
          <w:tcPr>
            <w:tcW w:type="dxa" w:w="7840"/>
            <w:tcBorders>
              <w:top w:val="single" w:color="D8CDB8" w:sz="4"/>
              <w:left w:val="single" w:color="D8CDB8" w:sz="4"/>
              <w:bottom w:val="single" w:color="D8CDB8" w:sz="4"/>
              <w:right w:val="single" w:color="D8CDB8" w:sz="4"/>
            </w:tcBorders>
            <w:tcMar>
              <w:top w:type="dxa" w:w="48"/>
              <w:left w:type="dxa" w:w="100"/>
              <w:bottom w:type="dxa" w:w="48"/>
              <w:right w:type="dxa" w:w="100"/>
            </w:tcMar>
          </w:tcPr>
          <w:p>
            <w:pPr>
              <w:spacing w:after="0"/>
            </w:pPr>
            <w:r>
              <w:rPr>
                <w:rFonts w:ascii="Calibri" w:cs="Calibri" w:eastAsia="Calibri" w:hAnsi="Calibri"/>
                <w:color w:val="1E293B"/>
                <w:sz w:val="19"/>
                <w:szCs w:val="19"/>
              </w:rPr>
              <w:t xml:space="preserve">Everything in the firm, including users, branding and the playbook library.</w:t>
            </w:r>
          </w:p>
        </w:tc>
      </w:tr>
      <w:tr>
        <w:tc>
          <w:tcPr>
            <w:tcW w:type="dxa" w:w="2400"/>
            <w:tcBorders>
              <w:top w:val="single" w:color="D8CDB8" w:sz="4"/>
              <w:left w:val="single" w:color="D8CDB8" w:sz="4"/>
              <w:bottom w:val="single" w:color="D8CDB8" w:sz="4"/>
              <w:right w:val="single" w:color="D8CDB8" w:sz="4"/>
            </w:tcBorders>
            <w:tcMar>
              <w:top w:type="dxa" w:w="48"/>
              <w:left w:type="dxa" w:w="100"/>
              <w:bottom w:type="dxa" w:w="48"/>
              <w:right w:type="dxa" w:w="100"/>
            </w:tcMar>
          </w:tcPr>
          <w:p>
            <w:pPr>
              <w:spacing w:after="0"/>
            </w:pPr>
            <w:r>
              <w:rPr>
                <w:rFonts w:ascii="Calibri" w:cs="Calibri" w:eastAsia="Calibri" w:hAnsi="Calibri"/>
                <w:b/>
                <w:bCs/>
                <w:color w:val="1E293B"/>
                <w:sz w:val="19"/>
                <w:szCs w:val="19"/>
              </w:rPr>
              <w:t xml:space="preserve">Titan Expert</w:t>
            </w:r>
          </w:p>
        </w:tc>
        <w:tc>
          <w:tcPr>
            <w:tcW w:type="dxa" w:w="7840"/>
            <w:tcBorders>
              <w:top w:val="single" w:color="D8CDB8" w:sz="4"/>
              <w:left w:val="single" w:color="D8CDB8" w:sz="4"/>
              <w:bottom w:val="single" w:color="D8CDB8" w:sz="4"/>
              <w:right w:val="single" w:color="D8CDB8" w:sz="4"/>
            </w:tcBorders>
            <w:tcMar>
              <w:top w:type="dxa" w:w="48"/>
              <w:left w:type="dxa" w:w="100"/>
              <w:bottom w:type="dxa" w:w="48"/>
              <w:right w:type="dxa" w:w="100"/>
            </w:tcMar>
          </w:tcPr>
          <w:p>
            <w:pPr>
              <w:spacing w:after="0"/>
            </w:pPr>
            <w:r>
              <w:rPr>
                <w:rFonts w:ascii="Calibri" w:cs="Calibri" w:eastAsia="Calibri" w:hAnsi="Calibri"/>
                <w:color w:val="1E293B"/>
                <w:sz w:val="19"/>
                <w:szCs w:val="19"/>
              </w:rPr>
              <w:t xml:space="preserve">Only their own book of clients. Full editing on those clients.</w:t>
            </w:r>
          </w:p>
        </w:tc>
      </w:tr>
      <w:tr>
        <w:tc>
          <w:tcPr>
            <w:tcW w:type="dxa" w:w="2400"/>
            <w:tcBorders>
              <w:top w:val="single" w:color="D8CDB8" w:sz="4"/>
              <w:left w:val="single" w:color="D8CDB8" w:sz="4"/>
              <w:bottom w:val="single" w:color="D8CDB8" w:sz="4"/>
              <w:right w:val="single" w:color="D8CDB8" w:sz="4"/>
            </w:tcBorders>
            <w:tcMar>
              <w:top w:type="dxa" w:w="48"/>
              <w:left w:type="dxa" w:w="100"/>
              <w:bottom w:type="dxa" w:w="48"/>
              <w:right w:type="dxa" w:w="100"/>
            </w:tcMar>
          </w:tcPr>
          <w:p>
            <w:pPr>
              <w:spacing w:after="0"/>
            </w:pPr>
            <w:r>
              <w:rPr>
                <w:rFonts w:ascii="Calibri" w:cs="Calibri" w:eastAsia="Calibri" w:hAnsi="Calibri"/>
                <w:b/>
                <w:bCs/>
                <w:color w:val="1E293B"/>
                <w:sz w:val="19"/>
                <w:szCs w:val="19"/>
              </w:rPr>
              <w:t xml:space="preserve">Partner</w:t>
            </w:r>
          </w:p>
        </w:tc>
        <w:tc>
          <w:tcPr>
            <w:tcW w:type="dxa" w:w="7840"/>
            <w:tcBorders>
              <w:top w:val="single" w:color="D8CDB8" w:sz="4"/>
              <w:left w:val="single" w:color="D8CDB8" w:sz="4"/>
              <w:bottom w:val="single" w:color="D8CDB8" w:sz="4"/>
              <w:right w:val="single" w:color="D8CDB8" w:sz="4"/>
            </w:tcBorders>
            <w:tcMar>
              <w:top w:type="dxa" w:w="48"/>
              <w:left w:type="dxa" w:w="100"/>
              <w:bottom w:type="dxa" w:w="48"/>
              <w:right w:type="dxa" w:w="100"/>
            </w:tcMar>
          </w:tcPr>
          <w:p>
            <w:pPr>
              <w:spacing w:after="0"/>
            </w:pPr>
            <w:r>
              <w:rPr>
                <w:rFonts w:ascii="Calibri" w:cs="Calibri" w:eastAsia="Calibri" w:hAnsi="Calibri"/>
                <w:color w:val="1E293B"/>
                <w:sz w:val="19"/>
                <w:szCs w:val="19"/>
              </w:rPr>
              <w:t xml:space="preserve">Only clients explicitly granted to them. Read-only, plus document upload.</w:t>
            </w:r>
          </w:p>
        </w:tc>
      </w:tr>
      <w:tr>
        <w:tc>
          <w:tcPr>
            <w:tcW w:type="dxa" w:w="2400"/>
            <w:tcBorders>
              <w:top w:val="single" w:color="D8CDB8" w:sz="4"/>
              <w:left w:val="single" w:color="D8CDB8" w:sz="4"/>
              <w:bottom w:val="single" w:color="D8CDB8" w:sz="4"/>
              <w:right w:val="single" w:color="D8CDB8" w:sz="4"/>
            </w:tcBorders>
            <w:tcMar>
              <w:top w:type="dxa" w:w="48"/>
              <w:left w:type="dxa" w:w="100"/>
              <w:bottom w:type="dxa" w:w="48"/>
              <w:right w:type="dxa" w:w="100"/>
            </w:tcMar>
          </w:tcPr>
          <w:p>
            <w:pPr>
              <w:spacing w:after="0"/>
            </w:pPr>
            <w:r>
              <w:rPr>
                <w:rFonts w:ascii="Calibri" w:cs="Calibri" w:eastAsia="Calibri" w:hAnsi="Calibri"/>
                <w:b/>
                <w:bCs/>
                <w:color w:val="1E293B"/>
                <w:sz w:val="19"/>
                <w:szCs w:val="19"/>
              </w:rPr>
              <w:t xml:space="preserve">Client</w:t>
            </w:r>
          </w:p>
        </w:tc>
        <w:tc>
          <w:tcPr>
            <w:tcW w:type="dxa" w:w="7840"/>
            <w:tcBorders>
              <w:top w:val="single" w:color="D8CDB8" w:sz="4"/>
              <w:left w:val="single" w:color="D8CDB8" w:sz="4"/>
              <w:bottom w:val="single" w:color="D8CDB8" w:sz="4"/>
              <w:right w:val="single" w:color="D8CDB8" w:sz="4"/>
            </w:tcBorders>
            <w:tcMar>
              <w:top w:type="dxa" w:w="48"/>
              <w:left w:type="dxa" w:w="100"/>
              <w:bottom w:type="dxa" w:w="48"/>
              <w:right w:type="dxa" w:w="100"/>
            </w:tcMar>
          </w:tcPr>
          <w:p>
            <w:pPr>
              <w:spacing w:after="0"/>
            </w:pPr>
            <w:r>
              <w:rPr>
                <w:rFonts w:ascii="Calibri" w:cs="Calibri" w:eastAsia="Calibri" w:hAnsi="Calibri"/>
                <w:color w:val="1E293B"/>
                <w:sz w:val="19"/>
                <w:szCs w:val="19"/>
              </w:rPr>
              <w:t xml:space="preserve">Their own household only, read-only.</w:t>
            </w:r>
          </w:p>
        </w:tc>
      </w:tr>
    </w:tbl>
    <w:p>
      <w:pPr>
        <w:keepNext/>
        <w:spacing w:after="30" w:before="85"/>
      </w:pPr>
      <w:r>
        <w:rPr>
          <w:rFonts w:ascii="Calibri" w:cs="Calibri" w:eastAsia="Calibri" w:hAnsi="Calibri"/>
          <w:b/>
          <w:bCs/>
          <w:caps/>
          <w:color w:val="5A6E84"/>
          <w:sz w:val="15"/>
          <w:szCs w:val="15"/>
        </w:rPr>
        <w:t xml:space="preserve">Procedure</w:t>
      </w:r>
    </w:p>
    <w:p>
      <w:pPr>
        <w:spacing w:after="36"/>
        <w:ind w:left="340" w:hanging="250"/>
      </w:pPr>
      <w:r>
        <w:rPr>
          <w:rFonts w:ascii="Calibri" w:cs="Calibri" w:eastAsia="Calibri" w:hAnsi="Calibri"/>
          <w:b/>
          <w:bCs/>
          <w:color w:val="CEB684"/>
          <w:sz w:val="19"/>
          <w:szCs w:val="19"/>
        </w:rPr>
        <w:t xml:space="preserve">1.  </w:t>
      </w:r>
      <w:r>
        <w:rPr>
          <w:rFonts w:ascii="Calibri" w:cs="Calibri" w:eastAsia="Calibri" w:hAnsi="Calibri"/>
          <w:color w:val="1E293B"/>
          <w:sz w:val="20"/>
          <w:szCs w:val="20"/>
        </w:rPr>
        <w:t xml:space="preserve">Set every client's responsible Expert on the client record. This one field drives who can see the client, who is copied on correspondence, and which address outbound mail is sent from — so an error here has three separate consequences.</w:t>
      </w:r>
    </w:p>
    <w:p>
      <w:pPr>
        <w:spacing w:after="36"/>
        <w:ind w:left="340" w:hanging="250"/>
      </w:pPr>
      <w:r>
        <w:rPr>
          <w:rFonts w:ascii="Calibri" w:cs="Calibri" w:eastAsia="Calibri" w:hAnsi="Calibri"/>
          <w:b/>
          <w:bCs/>
          <w:color w:val="CEB684"/>
          <w:sz w:val="19"/>
          <w:szCs w:val="19"/>
        </w:rPr>
        <w:t xml:space="preserve">2.  </w:t>
      </w:r>
      <w:r>
        <w:rPr>
          <w:rFonts w:ascii="Calibri" w:cs="Calibri" w:eastAsia="Calibri" w:hAnsi="Calibri"/>
          <w:color w:val="1E293B"/>
          <w:sz w:val="20"/>
          <w:szCs w:val="20"/>
        </w:rPr>
        <w:t xml:space="preserve">Grant a Partner access client by client. There is no firm-wide Partner access and there should not be.</w:t>
      </w:r>
    </w:p>
    <w:p>
      <w:pPr>
        <w:spacing w:after="36"/>
        <w:ind w:left="340" w:hanging="250"/>
      </w:pPr>
      <w:r>
        <w:rPr>
          <w:rFonts w:ascii="Calibri" w:cs="Calibri" w:eastAsia="Calibri" w:hAnsi="Calibri"/>
          <w:b/>
          <w:bCs/>
          <w:color w:val="CEB684"/>
          <w:sz w:val="19"/>
          <w:szCs w:val="19"/>
        </w:rPr>
        <w:t xml:space="preserve">3.  </w:t>
      </w:r>
      <w:r>
        <w:rPr>
          <w:rFonts w:ascii="Calibri" w:cs="Calibri" w:eastAsia="Calibri" w:hAnsi="Calibri"/>
          <w:color w:val="1E293B"/>
          <w:sz w:val="20"/>
          <w:szCs w:val="20"/>
        </w:rPr>
        <w:t xml:space="preserve">A Partner cannot approve correspondence, record a balance or start a workflow cycle. If one asks why a button is missing, that is why.</w:t>
      </w:r>
    </w:p>
    <w:p>
      <w:pPr>
        <w:spacing w:after="36"/>
        <w:ind w:left="340" w:hanging="250"/>
      </w:pPr>
      <w:r>
        <w:rPr>
          <w:rFonts w:ascii="Calibri" w:cs="Calibri" w:eastAsia="Calibri" w:hAnsi="Calibri"/>
          <w:b/>
          <w:bCs/>
          <w:color w:val="CEB684"/>
          <w:sz w:val="19"/>
          <w:szCs w:val="19"/>
        </w:rPr>
        <w:t xml:space="preserve">4.  </w:t>
      </w:r>
      <w:r>
        <w:rPr>
          <w:rFonts w:ascii="Calibri" w:cs="Calibri" w:eastAsia="Calibri" w:hAnsi="Calibri"/>
          <w:color w:val="1E293B"/>
          <w:sz w:val="20"/>
          <w:szCs w:val="20"/>
        </w:rPr>
        <w:t xml:space="preserve">Changing a role takes effect immediately, including for scheduled automations already configured.</w:t>
      </w:r>
    </w:p>
    <w:p>
      <w:pPr>
        <w:keepNext/>
        <w:spacing w:after="30" w:before="85"/>
      </w:pPr>
      <w:r>
        <w:rPr>
          <w:rFonts w:ascii="Calibri" w:cs="Calibri" w:eastAsia="Calibri" w:hAnsi="Calibri"/>
          <w:b/>
          <w:bCs/>
          <w:caps/>
          <w:color w:val="5A6E84"/>
          <w:sz w:val="15"/>
          <w:szCs w:val="15"/>
        </w:rPr>
        <w:t xml:space="preserve">Traps</w:t>
      </w:r>
    </w:p>
    <w:p>
      <w:pPr>
        <w:pBdr>
          <w:left w:val="single" w:color="E4CE9A" w:sz="18"/>
        </w:pBdr>
        <w:shd w:fill="FBF3E3" w:val="clear"/>
        <w:spacing w:after="70" w:before="60"/>
        <w:ind w:left="200" w:right="120"/>
      </w:pPr>
      <w:r>
        <w:rPr>
          <w:rFonts w:ascii="Calibri" w:cs="Calibri" w:eastAsia="Calibri" w:hAnsi="Calibri"/>
          <w:i/>
          <w:iCs/>
          <w:color w:val="7A5A19"/>
          <w:sz w:val="20"/>
          <w:szCs w:val="20"/>
        </w:rPr>
        <w:t xml:space="preserve">An Expert whose email address is not on the firm's verified sending domain cannot send correspondence for their clients. Catch this when the person is set up, not on a live deadline.</w:t>
      </w:r>
    </w:p>
    <w:p>
      <w:pPr>
        <w:pBdr>
          <w:left w:val="single" w:color="E4CE9A" w:sz="18"/>
        </w:pBdr>
        <w:shd w:fill="FBF3E3" w:val="clear"/>
        <w:spacing w:after="70" w:before="60"/>
        <w:ind w:left="200" w:right="120"/>
      </w:pPr>
      <w:r>
        <w:rPr>
          <w:rFonts w:ascii="Calibri" w:cs="Calibri" w:eastAsia="Calibri" w:hAnsi="Calibri"/>
          <w:i/>
          <w:iCs/>
          <w:color w:val="7A5A19"/>
          <w:sz w:val="20"/>
          <w:szCs w:val="20"/>
        </w:rPr>
        <w:t xml:space="preserve">Removing a Partner's access to a client does not delete anything they uploaded. That is intended — the documents belong to the client.</w:t>
      </w:r>
    </w:p>
    <w:p>
      <w:pPr>
        <w:keepNext/>
        <w:pBdr>
          <w:bottom w:val="single" w:color="CEB684" w:sz="8"/>
        </w:pBdr>
        <w:spacing w:after="70" w:before="190"/>
      </w:pPr>
      <w:r>
        <w:rPr>
          <w:rFonts w:ascii="Georgia" w:cs="Georgia" w:eastAsia="Georgia" w:hAnsi="Georgia"/>
          <w:b/>
          <w:bCs/>
          <w:color w:val="092B49"/>
          <w:sz w:val="25"/>
          <w:szCs w:val="25"/>
        </w:rPr>
        <w:t xml:space="preserve">2.  Households and their people</w:t>
      </w:r>
    </w:p>
    <w:p>
      <w:pPr>
        <w:spacing w:after="80" w:before="0"/>
      </w:pPr>
      <w:r>
        <w:rPr>
          <w:rFonts w:ascii="Calibri" w:cs="Calibri" w:eastAsia="Calibri" w:hAnsi="Calibri"/>
          <w:i/>
          <w:iCs/>
          <w:color w:val="5A6E84"/>
          <w:sz w:val="19"/>
          <w:szCs w:val="19"/>
        </w:rPr>
        <w:t xml:space="preserve">The household record is the spine everything else hangs from: properties, accounts, documents, obligations and correspondence are all scoped to it.</w:t>
      </w:r>
    </w:p>
    <w:p>
      <w:pPr>
        <w:keepNext/>
        <w:spacing w:after="30" w:before="85"/>
      </w:pPr>
      <w:r>
        <w:rPr>
          <w:rFonts w:ascii="Calibri" w:cs="Calibri" w:eastAsia="Calibri" w:hAnsi="Calibri"/>
          <w:b/>
          <w:bCs/>
          <w:caps/>
          <w:color w:val="5A6E84"/>
          <w:sz w:val="15"/>
          <w:szCs w:val="15"/>
        </w:rPr>
        <w:t xml:space="preserve">Procedure</w:t>
      </w:r>
    </w:p>
    <w:p>
      <w:pPr>
        <w:spacing w:after="36"/>
        <w:ind w:left="340" w:hanging="250"/>
      </w:pPr>
      <w:r>
        <w:rPr>
          <w:rFonts w:ascii="Calibri" w:cs="Calibri" w:eastAsia="Calibri" w:hAnsi="Calibri"/>
          <w:b/>
          <w:bCs/>
          <w:color w:val="CEB684"/>
          <w:sz w:val="19"/>
          <w:szCs w:val="19"/>
        </w:rPr>
        <w:t xml:space="preserve">1.  </w:t>
      </w:r>
      <w:r>
        <w:rPr>
          <w:rFonts w:ascii="Calibri" w:cs="Calibri" w:eastAsia="Calibri" w:hAnsi="Calibri"/>
          <w:color w:val="1E293B"/>
          <w:sz w:val="20"/>
          <w:szCs w:val="20"/>
        </w:rPr>
        <w:t xml:space="preserve">Create the household, then set the responsible Expert before adding anything else.</w:t>
      </w:r>
    </w:p>
    <w:p>
      <w:pPr>
        <w:spacing w:after="36"/>
        <w:ind w:left="340" w:hanging="250"/>
      </w:pPr>
      <w:r>
        <w:rPr>
          <w:rFonts w:ascii="Calibri" w:cs="Calibri" w:eastAsia="Calibri" w:hAnsi="Calibri"/>
          <w:b/>
          <w:bCs/>
          <w:color w:val="CEB684"/>
          <w:sz w:val="19"/>
          <w:szCs w:val="19"/>
        </w:rPr>
        <w:t xml:space="preserve">2.  </w:t>
      </w:r>
      <w:r>
        <w:rPr>
          <w:rFonts w:ascii="Calibri" w:cs="Calibri" w:eastAsia="Calibri" w:hAnsi="Calibri"/>
          <w:color w:val="1E293B"/>
          <w:sz w:val="20"/>
          <w:szCs w:val="20"/>
        </w:rPr>
        <w:t xml:space="preserve">Add members under Members. Mark one as PRIMARY with the star — this is the person copied on every piece of outbound correspondence about the household.</w:t>
      </w:r>
    </w:p>
    <w:p>
      <w:pPr>
        <w:spacing w:after="36"/>
        <w:ind w:left="340" w:hanging="250"/>
      </w:pPr>
      <w:r>
        <w:rPr>
          <w:rFonts w:ascii="Calibri" w:cs="Calibri" w:eastAsia="Calibri" w:hAnsi="Calibri"/>
          <w:b/>
          <w:bCs/>
          <w:color w:val="CEB684"/>
          <w:sz w:val="19"/>
          <w:szCs w:val="19"/>
        </w:rPr>
        <w:t xml:space="preserve">3.  </w:t>
      </w:r>
      <w:r>
        <w:rPr>
          <w:rFonts w:ascii="Calibri" w:cs="Calibri" w:eastAsia="Calibri" w:hAnsi="Calibri"/>
          <w:color w:val="1E293B"/>
          <w:sz w:val="20"/>
          <w:szCs w:val="20"/>
        </w:rPr>
        <w:t xml:space="preserve">Add professional contacts — accountant, attorney, banker, insurance broker — under Team Member &amp; Contacts. Tick 'Client can email this contact' for anyone the household should be able to reach from the portal.</w:t>
      </w:r>
    </w:p>
    <w:p>
      <w:pPr>
        <w:spacing w:after="36"/>
        <w:ind w:left="340" w:hanging="250"/>
      </w:pPr>
      <w:r>
        <w:rPr>
          <w:rFonts w:ascii="Calibri" w:cs="Calibri" w:eastAsia="Calibri" w:hAnsi="Calibri"/>
          <w:b/>
          <w:bCs/>
          <w:color w:val="CEB684"/>
          <w:sz w:val="19"/>
          <w:szCs w:val="19"/>
        </w:rPr>
        <w:t xml:space="preserve">4.  </w:t>
      </w:r>
      <w:r>
        <w:rPr>
          <w:rFonts w:ascii="Calibri" w:cs="Calibri" w:eastAsia="Calibri" w:hAnsi="Calibri"/>
          <w:color w:val="1E293B"/>
          <w:sz w:val="20"/>
          <w:szCs w:val="20"/>
        </w:rPr>
        <w:t xml:space="preserve">Add the household's real counterparties as you meet them. Bankers, trustees, carriers and fund administrators all need to be on file before correspondence can be sent to them.</w:t>
      </w:r>
    </w:p>
    <w:p>
      <w:pPr>
        <w:keepNext/>
        <w:spacing w:after="30" w:before="85"/>
      </w:pPr>
      <w:r>
        <w:rPr>
          <w:rFonts w:ascii="Calibri" w:cs="Calibri" w:eastAsia="Calibri" w:hAnsi="Calibri"/>
          <w:b/>
          <w:bCs/>
          <w:caps/>
          <w:color w:val="5A6E84"/>
          <w:sz w:val="15"/>
          <w:szCs w:val="15"/>
        </w:rPr>
        <w:t xml:space="preserve">Before you move on</w:t>
      </w:r>
    </w:p>
    <w:p>
      <w:pPr>
        <w:pStyle w:val="ListParagraph"/>
        <w:numPr>
          <w:ilvl w:val="0"/>
          <w:numId w:val="2"/>
        </w:numPr>
        <w:spacing w:after="36"/>
      </w:pPr>
      <w:r>
        <w:rPr>
          <w:rFonts w:ascii="Calibri" w:cs="Calibri" w:eastAsia="Calibri" w:hAnsi="Calibri"/>
          <w:color w:val="1E293B"/>
          <w:sz w:val="20"/>
          <w:szCs w:val="20"/>
        </w:rPr>
        <w:t xml:space="preserve">Every household has a primary member designated, or you know why not.</w:t>
      </w:r>
    </w:p>
    <w:p>
      <w:pPr>
        <w:pStyle w:val="ListParagraph"/>
        <w:numPr>
          <w:ilvl w:val="0"/>
          <w:numId w:val="2"/>
        </w:numPr>
        <w:spacing w:after="36"/>
      </w:pPr>
      <w:r>
        <w:rPr>
          <w:rFonts w:ascii="Calibri" w:cs="Calibri" w:eastAsia="Calibri" w:hAnsi="Calibri"/>
          <w:color w:val="1E293B"/>
          <w:sz w:val="20"/>
          <w:szCs w:val="20"/>
        </w:rPr>
        <w:t xml:space="preserve">The primary member has an email address. Without one there is nobody to copy.</w:t>
      </w:r>
    </w:p>
    <w:p>
      <w:pPr>
        <w:keepNext/>
        <w:spacing w:after="30" w:before="85"/>
      </w:pPr>
      <w:r>
        <w:rPr>
          <w:rFonts w:ascii="Calibri" w:cs="Calibri" w:eastAsia="Calibri" w:hAnsi="Calibri"/>
          <w:b/>
          <w:bCs/>
          <w:caps/>
          <w:color w:val="5A6E84"/>
          <w:sz w:val="15"/>
          <w:szCs w:val="15"/>
        </w:rPr>
        <w:t xml:space="preserve">Traps</w:t>
      </w:r>
    </w:p>
    <w:p>
      <w:pPr>
        <w:pBdr>
          <w:left w:val="single" w:color="E4CE9A" w:sz="18"/>
        </w:pBdr>
        <w:shd w:fill="FBF3E3" w:val="clear"/>
        <w:spacing w:after="70" w:before="60"/>
        <w:ind w:left="200" w:right="120"/>
      </w:pPr>
      <w:r>
        <w:rPr>
          <w:rFonts w:ascii="Calibri" w:cs="Calibri" w:eastAsia="Calibri" w:hAnsi="Calibri"/>
          <w:i/>
          <w:iCs/>
          <w:color w:val="7A5A19"/>
          <w:sz w:val="20"/>
          <w:szCs w:val="20"/>
        </w:rPr>
        <w:t xml:space="preserve">Where several members have email addresses and none is marked primary, the platform copies nobody and says so on the draft. It will not guess between a husband and wife, and you should not want it to.</w:t>
      </w:r>
    </w:p>
    <w:p>
      <w:pPr>
        <w:pBdr>
          <w:left w:val="single" w:color="E4CE9A" w:sz="18"/>
        </w:pBdr>
        <w:shd w:fill="FBF3E3" w:val="clear"/>
        <w:spacing w:after="70" w:before="60"/>
        <w:ind w:left="200" w:right="120"/>
      </w:pPr>
      <w:r>
        <w:rPr>
          <w:rFonts w:ascii="Calibri" w:cs="Calibri" w:eastAsia="Calibri" w:hAnsi="Calibri"/>
          <w:i/>
          <w:iCs/>
          <w:color w:val="7A5A19"/>
          <w:sz w:val="20"/>
          <w:szCs w:val="20"/>
        </w:rPr>
        <w:t xml:space="preserve">Contacts are also the recipient allowlist. An address that is not on file for the household will stop a send and ask for explicit confirmation — so keeping contacts current is not housekeeping, it is what keeps correspondence flowing.</w:t>
      </w:r>
    </w:p>
    <w:p>
      <w:pPr>
        <w:keepNext/>
        <w:pBdr>
          <w:bottom w:val="single" w:color="CEB684" w:sz="8"/>
        </w:pBdr>
        <w:spacing w:after="70" w:before="190"/>
      </w:pPr>
      <w:r>
        <w:rPr>
          <w:rFonts w:ascii="Georgia" w:cs="Georgia" w:eastAsia="Georgia" w:hAnsi="Georgia"/>
          <w:b/>
          <w:bCs/>
          <w:color w:val="092B49"/>
          <w:sz w:val="25"/>
          <w:szCs w:val="25"/>
        </w:rPr>
        <w:t xml:space="preserve">3.  Properties and the documents behind them</w:t>
      </w:r>
    </w:p>
    <w:p>
      <w:pPr>
        <w:spacing w:after="80" w:before="0"/>
      </w:pPr>
      <w:r>
        <w:rPr>
          <w:rFonts w:ascii="Calibri" w:cs="Calibri" w:eastAsia="Calibri" w:hAnsi="Calibri"/>
          <w:i/>
          <w:iCs/>
          <w:color w:val="5A6E84"/>
          <w:sz w:val="19"/>
          <w:szCs w:val="19"/>
        </w:rPr>
        <w:t xml:space="preserve">A property is not just an address and a value. It carries a loan, a tax bill, insurance, sometimes flood cover and a tenancy — and each of those has a document that proves it.</w:t>
      </w:r>
    </w:p>
    <w:p>
      <w:pPr>
        <w:keepNext/>
        <w:spacing w:after="30" w:before="85"/>
      </w:pPr>
      <w:r>
        <w:rPr>
          <w:rFonts w:ascii="Calibri" w:cs="Calibri" w:eastAsia="Calibri" w:hAnsi="Calibri"/>
          <w:b/>
          <w:bCs/>
          <w:caps/>
          <w:color w:val="5A6E84"/>
          <w:sz w:val="15"/>
          <w:szCs w:val="15"/>
        </w:rPr>
        <w:t xml:space="preserve">Procedure</w:t>
      </w:r>
    </w:p>
    <w:p>
      <w:pPr>
        <w:spacing w:after="36"/>
        <w:ind w:left="340" w:hanging="250"/>
      </w:pPr>
      <w:r>
        <w:rPr>
          <w:rFonts w:ascii="Calibri" w:cs="Calibri" w:eastAsia="Calibri" w:hAnsi="Calibri"/>
          <w:b/>
          <w:bCs/>
          <w:color w:val="CEB684"/>
          <w:sz w:val="19"/>
          <w:szCs w:val="19"/>
        </w:rPr>
        <w:t xml:space="preserve">1.  </w:t>
      </w:r>
      <w:r>
        <w:rPr>
          <w:rFonts w:ascii="Calibri" w:cs="Calibri" w:eastAsia="Calibri" w:hAnsi="Calibri"/>
          <w:color w:val="1E293B"/>
          <w:sz w:val="20"/>
          <w:szCs w:val="20"/>
        </w:rPr>
        <w:t xml:space="preserve">Create the property with ownership, type and value. Add loan, tax, insurance, flood and rental detail as you have it.</w:t>
      </w:r>
    </w:p>
    <w:p>
      <w:pPr>
        <w:spacing w:after="36"/>
        <w:ind w:left="340" w:hanging="250"/>
      </w:pPr>
      <w:r>
        <w:rPr>
          <w:rFonts w:ascii="Calibri" w:cs="Calibri" w:eastAsia="Calibri" w:hAnsi="Calibri"/>
          <w:b/>
          <w:bCs/>
          <w:color w:val="CEB684"/>
          <w:sz w:val="19"/>
          <w:szCs w:val="19"/>
        </w:rPr>
        <w:t xml:space="preserve">2.  </w:t>
      </w:r>
      <w:r>
        <w:rPr>
          <w:rFonts w:ascii="Calibri" w:cs="Calibri" w:eastAsia="Calibri" w:hAnsi="Calibri"/>
          <w:color w:val="1E293B"/>
          <w:sz w:val="20"/>
          <w:szCs w:val="20"/>
        </w:rPr>
        <w:t xml:space="preserve">Add vendors under the property — gardener, manager, contractor. These become click-to-call and click-to-email for whoever is working the household.</w:t>
      </w:r>
    </w:p>
    <w:p>
      <w:pPr>
        <w:spacing w:after="36"/>
        <w:ind w:left="340" w:hanging="250"/>
      </w:pPr>
      <w:r>
        <w:rPr>
          <w:rFonts w:ascii="Calibri" w:cs="Calibri" w:eastAsia="Calibri" w:hAnsi="Calibri"/>
          <w:b/>
          <w:bCs/>
          <w:color w:val="CEB684"/>
          <w:sz w:val="19"/>
          <w:szCs w:val="19"/>
        </w:rPr>
        <w:t xml:space="preserve">3.  </w:t>
      </w:r>
      <w:r>
        <w:rPr>
          <w:rFonts w:ascii="Calibri" w:cs="Calibri" w:eastAsia="Calibri" w:hAnsi="Calibri"/>
          <w:color w:val="1E293B"/>
          <w:sz w:val="20"/>
          <w:szCs w:val="20"/>
        </w:rPr>
        <w:t xml:space="preserve">Attach the document behind each figure. A paperclip beside an unlinked section takes you to the Vault with the property and section already chosen.</w:t>
      </w:r>
    </w:p>
    <w:p>
      <w:pPr>
        <w:spacing w:after="36"/>
        <w:ind w:left="340" w:hanging="250"/>
      </w:pPr>
      <w:r>
        <w:rPr>
          <w:rFonts w:ascii="Calibri" w:cs="Calibri" w:eastAsia="Calibri" w:hAnsi="Calibri"/>
          <w:b/>
          <w:bCs/>
          <w:color w:val="CEB684"/>
          <w:sz w:val="19"/>
          <w:szCs w:val="19"/>
        </w:rPr>
        <w:t xml:space="preserve">4.  </w:t>
      </w:r>
      <w:r>
        <w:rPr>
          <w:rFonts w:ascii="Calibri" w:cs="Calibri" w:eastAsia="Calibri" w:hAnsi="Calibri"/>
          <w:color w:val="1E293B"/>
          <w:sz w:val="20"/>
          <w:szCs w:val="20"/>
        </w:rPr>
        <w:t xml:space="preserve">To pre-fill a property from a closing document or statement, use the extract option on the property form and check every value it proposes before saving.</w:t>
      </w:r>
    </w:p>
    <w:p>
      <w:pPr>
        <w:keepNext/>
        <w:spacing w:after="30" w:before="85"/>
      </w:pPr>
      <w:r>
        <w:rPr>
          <w:rFonts w:ascii="Calibri" w:cs="Calibri" w:eastAsia="Calibri" w:hAnsi="Calibri"/>
          <w:b/>
          <w:bCs/>
          <w:caps/>
          <w:color w:val="5A6E84"/>
          <w:sz w:val="15"/>
          <w:szCs w:val="15"/>
        </w:rPr>
        <w:t xml:space="preserve">Before you move on</w:t>
      </w:r>
    </w:p>
    <w:p>
      <w:pPr>
        <w:pStyle w:val="ListParagraph"/>
        <w:numPr>
          <w:ilvl w:val="0"/>
          <w:numId w:val="2"/>
        </w:numPr>
        <w:spacing w:after="36"/>
      </w:pPr>
      <w:r>
        <w:rPr>
          <w:rFonts w:ascii="Calibri" w:cs="Calibri" w:eastAsia="Calibri" w:hAnsi="Calibri"/>
          <w:color w:val="1E293B"/>
          <w:sz w:val="20"/>
          <w:szCs w:val="20"/>
        </w:rPr>
        <w:t xml:space="preserve">Each section that should have a document has one: mortgage note, tax bill, insurance declarations, insurance invoice, flood declarations, tenancy agreement.</w:t>
      </w:r>
    </w:p>
    <w:p>
      <w:pPr>
        <w:keepNext/>
        <w:spacing w:after="30" w:before="85"/>
      </w:pPr>
      <w:r>
        <w:rPr>
          <w:rFonts w:ascii="Calibri" w:cs="Calibri" w:eastAsia="Calibri" w:hAnsi="Calibri"/>
          <w:b/>
          <w:bCs/>
          <w:caps/>
          <w:color w:val="5A6E84"/>
          <w:sz w:val="15"/>
          <w:szCs w:val="15"/>
        </w:rPr>
        <w:t xml:space="preserve">Traps</w:t>
      </w:r>
    </w:p>
    <w:p>
      <w:pPr>
        <w:pBdr>
          <w:left w:val="single" w:color="E4CE9A" w:sz="18"/>
        </w:pBdr>
        <w:shd w:fill="FBF3E3" w:val="clear"/>
        <w:spacing w:after="70" w:before="60"/>
        <w:ind w:left="200" w:right="120"/>
      </w:pPr>
      <w:r>
        <w:rPr>
          <w:rFonts w:ascii="Calibri" w:cs="Calibri" w:eastAsia="Calibri" w:hAnsi="Calibri"/>
          <w:i/>
          <w:iCs/>
          <w:color w:val="7A5A19"/>
          <w:sz w:val="20"/>
          <w:szCs w:val="20"/>
        </w:rPr>
        <w:t xml:space="preserve">Replacing a document does not delete the old one. It is unlinked and stays in the Vault, so last year's tax bill and an expired policy remain available. This is deliberate; do not go looking for a delete.</w:t>
      </w:r>
    </w:p>
    <w:p>
      <w:pPr>
        <w:pBdr>
          <w:left w:val="single" w:color="E4CE9A" w:sz="18"/>
        </w:pBdr>
        <w:shd w:fill="FBF3E3" w:val="clear"/>
        <w:spacing w:after="70" w:before="60"/>
        <w:ind w:left="200" w:right="120"/>
      </w:pPr>
      <w:r>
        <w:rPr>
          <w:rFonts w:ascii="Calibri" w:cs="Calibri" w:eastAsia="Calibri" w:hAnsi="Calibri"/>
          <w:i/>
          <w:iCs/>
          <w:color w:val="7A5A19"/>
          <w:sz w:val="20"/>
          <w:szCs w:val="20"/>
        </w:rPr>
        <w:t xml:space="preserve">Anything the AI proposes from a document is a proposal. It is right often enough to be useful and wrong often enough that you must read it.</w:t>
      </w:r>
    </w:p>
    <w:p>
      <w:pPr>
        <w:keepNext/>
        <w:pBdr>
          <w:bottom w:val="single" w:color="CEB684" w:sz="8"/>
        </w:pBdr>
        <w:spacing w:after="70" w:before="190"/>
      </w:pPr>
      <w:r>
        <w:rPr>
          <w:rFonts w:ascii="Georgia" w:cs="Georgia" w:eastAsia="Georgia" w:hAnsi="Georgia"/>
          <w:b/>
          <w:bCs/>
          <w:color w:val="092B49"/>
          <w:sz w:val="25"/>
          <w:szCs w:val="25"/>
        </w:rPr>
        <w:t xml:space="preserve">4.  Portfolio accounts, statements and balances</w:t>
      </w:r>
    </w:p>
    <w:p>
      <w:pPr>
        <w:spacing w:after="80" w:before="0"/>
      </w:pPr>
      <w:r>
        <w:rPr>
          <w:rFonts w:ascii="Calibri" w:cs="Calibri" w:eastAsia="Calibri" w:hAnsi="Calibri"/>
          <w:i/>
          <w:iCs/>
          <w:color w:val="5A6E84"/>
          <w:sz w:val="19"/>
          <w:szCs w:val="19"/>
        </w:rPr>
        <w:t xml:space="preserve">A balance is not a number, it is a number as at a date, from a statement. This is what lets you answer 'where did this figure come from' in a client meeting.</w:t>
      </w:r>
    </w:p>
    <w:p>
      <w:pPr>
        <w:keepNext/>
        <w:spacing w:after="30" w:before="85"/>
      </w:pPr>
      <w:r>
        <w:rPr>
          <w:rFonts w:ascii="Calibri" w:cs="Calibri" w:eastAsia="Calibri" w:hAnsi="Calibri"/>
          <w:b/>
          <w:bCs/>
          <w:caps/>
          <w:color w:val="5A6E84"/>
          <w:sz w:val="15"/>
          <w:szCs w:val="15"/>
        </w:rPr>
        <w:t xml:space="preserve">Procedure</w:t>
      </w:r>
    </w:p>
    <w:p>
      <w:pPr>
        <w:spacing w:after="36"/>
        <w:ind w:left="340" w:hanging="250"/>
      </w:pPr>
      <w:r>
        <w:rPr>
          <w:rFonts w:ascii="Calibri" w:cs="Calibri" w:eastAsia="Calibri" w:hAnsi="Calibri"/>
          <w:b/>
          <w:bCs/>
          <w:color w:val="CEB684"/>
          <w:sz w:val="19"/>
          <w:szCs w:val="19"/>
        </w:rPr>
        <w:t xml:space="preserve">1.  </w:t>
      </w:r>
      <w:r>
        <w:rPr>
          <w:rFonts w:ascii="Calibri" w:cs="Calibri" w:eastAsia="Calibri" w:hAnsi="Calibri"/>
          <w:color w:val="1E293B"/>
          <w:sz w:val="20"/>
          <w:szCs w:val="20"/>
        </w:rPr>
        <w:t xml:space="preserve">Create the account with institution, type, banker and opening balance.</w:t>
      </w:r>
    </w:p>
    <w:p>
      <w:pPr>
        <w:spacing w:after="36"/>
        <w:ind w:left="340" w:hanging="250"/>
      </w:pPr>
      <w:r>
        <w:rPr>
          <w:rFonts w:ascii="Calibri" w:cs="Calibri" w:eastAsia="Calibri" w:hAnsi="Calibri"/>
          <w:b/>
          <w:bCs/>
          <w:color w:val="CEB684"/>
          <w:sz w:val="19"/>
          <w:szCs w:val="19"/>
        </w:rPr>
        <w:t xml:space="preserve">2.  </w:t>
      </w:r>
      <w:r>
        <w:rPr>
          <w:rFonts w:ascii="Calibri" w:cs="Calibri" w:eastAsia="Calibri" w:hAnsi="Calibri"/>
          <w:color w:val="1E293B"/>
          <w:sz w:val="20"/>
          <w:szCs w:val="20"/>
        </w:rPr>
        <w:t xml:space="preserve">To record a balance from a statement: open Balance history on the account, choose Statement, and pick the file. It is filed to the Vault against the account first, then read.</w:t>
      </w:r>
    </w:p>
    <w:p>
      <w:pPr>
        <w:spacing w:after="36"/>
        <w:ind w:left="340" w:hanging="250"/>
      </w:pPr>
      <w:r>
        <w:rPr>
          <w:rFonts w:ascii="Calibri" w:cs="Calibri" w:eastAsia="Calibri" w:hAnsi="Calibri"/>
          <w:b/>
          <w:bCs/>
          <w:color w:val="CEB684"/>
          <w:sz w:val="19"/>
          <w:szCs w:val="19"/>
        </w:rPr>
        <w:t xml:space="preserve">3.  </w:t>
      </w:r>
      <w:r>
        <w:rPr>
          <w:rFonts w:ascii="Calibri" w:cs="Calibri" w:eastAsia="Calibri" w:hAnsi="Calibri"/>
          <w:color w:val="1E293B"/>
          <w:sz w:val="20"/>
          <w:szCs w:val="20"/>
        </w:rPr>
        <w:t xml:space="preserve">Check the proposed closing balance and period end against the statement, and against the figure already on file — the difference is shown for you. Correct anything wrong, then press Record balance.</w:t>
      </w:r>
    </w:p>
    <w:p>
      <w:pPr>
        <w:spacing w:after="36"/>
        <w:ind w:left="340" w:hanging="250"/>
      </w:pPr>
      <w:r>
        <w:rPr>
          <w:rFonts w:ascii="Calibri" w:cs="Calibri" w:eastAsia="Calibri" w:hAnsi="Calibri"/>
          <w:b/>
          <w:bCs/>
          <w:color w:val="CEB684"/>
          <w:sz w:val="19"/>
          <w:szCs w:val="19"/>
        </w:rPr>
        <w:t xml:space="preserve">4.  </w:t>
      </w:r>
      <w:r>
        <w:rPr>
          <w:rFonts w:ascii="Calibri" w:cs="Calibri" w:eastAsia="Calibri" w:hAnsi="Calibri"/>
          <w:color w:val="1E293B"/>
          <w:sz w:val="20"/>
          <w:szCs w:val="20"/>
        </w:rPr>
        <w:t xml:space="preserve">To record a figure with no statement — an opening position, or a balance a banker confirmed by phone — use + Balance and leave the document blank.</w:t>
      </w:r>
    </w:p>
    <w:p>
      <w:pPr>
        <w:spacing w:after="36"/>
        <w:ind w:left="340" w:hanging="250"/>
      </w:pPr>
      <w:r>
        <w:rPr>
          <w:rFonts w:ascii="Calibri" w:cs="Calibri" w:eastAsia="Calibri" w:hAnsi="Calibri"/>
          <w:b/>
          <w:bCs/>
          <w:color w:val="CEB684"/>
          <w:sz w:val="19"/>
          <w:szCs w:val="19"/>
        </w:rPr>
        <w:t xml:space="preserve">5.  </w:t>
      </w:r>
      <w:r>
        <w:rPr>
          <w:rFonts w:ascii="Calibri" w:cs="Calibri" w:eastAsia="Calibri" w:hAnsi="Calibri"/>
          <w:color w:val="1E293B"/>
          <w:sz w:val="20"/>
          <w:szCs w:val="20"/>
        </w:rPr>
        <w:t xml:space="preserve">Give the statement its period label as your firm writes it: 2026-Q2, June 2026, FY26. Whatever you use, use it consistently.</w:t>
      </w:r>
    </w:p>
    <w:p>
      <w:pPr>
        <w:keepNext/>
        <w:spacing w:after="30" w:before="85"/>
      </w:pPr>
      <w:r>
        <w:rPr>
          <w:rFonts w:ascii="Calibri" w:cs="Calibri" w:eastAsia="Calibri" w:hAnsi="Calibri"/>
          <w:b/>
          <w:bCs/>
          <w:caps/>
          <w:color w:val="5A6E84"/>
          <w:sz w:val="15"/>
          <w:szCs w:val="15"/>
        </w:rPr>
        <w:t xml:space="preserve">Before you move on</w:t>
      </w:r>
    </w:p>
    <w:p>
      <w:pPr>
        <w:pStyle w:val="ListParagraph"/>
        <w:numPr>
          <w:ilvl w:val="0"/>
          <w:numId w:val="2"/>
        </w:numPr>
        <w:spacing w:after="36"/>
      </w:pPr>
      <w:r>
        <w:rPr>
          <w:rFonts w:ascii="Calibri" w:cs="Calibri" w:eastAsia="Calibri" w:hAnsi="Calibri"/>
          <w:color w:val="1E293B"/>
          <w:sz w:val="20"/>
          <w:szCs w:val="20"/>
        </w:rPr>
        <w:t xml:space="preserve">The account header shows a date, not 'no date on this figure'.</w:t>
      </w:r>
    </w:p>
    <w:p>
      <w:pPr>
        <w:pStyle w:val="ListParagraph"/>
        <w:numPr>
          <w:ilvl w:val="0"/>
          <w:numId w:val="2"/>
        </w:numPr>
        <w:spacing w:after="36"/>
      </w:pPr>
      <w:r>
        <w:rPr>
          <w:rFonts w:ascii="Calibri" w:cs="Calibri" w:eastAsia="Calibri" w:hAnsi="Calibri"/>
          <w:color w:val="1E293B"/>
          <w:sz w:val="20"/>
          <w:szCs w:val="20"/>
        </w:rPr>
        <w:t xml:space="preserve">The balance shown matches the statement you just filed.</w:t>
      </w:r>
    </w:p>
    <w:p>
      <w:pPr>
        <w:keepNext/>
        <w:spacing w:after="30" w:before="85"/>
      </w:pPr>
      <w:r>
        <w:rPr>
          <w:rFonts w:ascii="Calibri" w:cs="Calibri" w:eastAsia="Calibri" w:hAnsi="Calibri"/>
          <w:b/>
          <w:bCs/>
          <w:caps/>
          <w:color w:val="5A6E84"/>
          <w:sz w:val="15"/>
          <w:szCs w:val="15"/>
        </w:rPr>
        <w:t xml:space="preserve">Traps</w:t>
      </w:r>
    </w:p>
    <w:p>
      <w:pPr>
        <w:pBdr>
          <w:left w:val="single" w:color="E4CE9A" w:sz="18"/>
        </w:pBdr>
        <w:shd w:fill="FBF3E3" w:val="clear"/>
        <w:spacing w:after="70" w:before="60"/>
        <w:ind w:left="200" w:right="120"/>
      </w:pPr>
      <w:r>
        <w:rPr>
          <w:rFonts w:ascii="Calibri" w:cs="Calibri" w:eastAsia="Calibri" w:hAnsi="Calibri"/>
          <w:i/>
          <w:iCs/>
          <w:color w:val="7A5A19"/>
          <w:sz w:val="20"/>
          <w:szCs w:val="20"/>
        </w:rPr>
        <w:t xml:space="preserve">Recording a balance for a period that already has one replaces it. That is right for a restated statement, and it means you cannot accidentally end up with two figures both claiming to be Q2.</w:t>
      </w:r>
    </w:p>
    <w:p>
      <w:pPr>
        <w:pBdr>
          <w:left w:val="single" w:color="E4CE9A" w:sz="18"/>
        </w:pBdr>
        <w:shd w:fill="FBF3E3" w:val="clear"/>
        <w:spacing w:after="70" w:before="60"/>
        <w:ind w:left="200" w:right="120"/>
      </w:pPr>
      <w:r>
        <w:rPr>
          <w:rFonts w:ascii="Calibri" w:cs="Calibri" w:eastAsia="Calibri" w:hAnsi="Calibri"/>
          <w:i/>
          <w:iCs/>
          <w:color w:val="7A5A19"/>
          <w:sz w:val="20"/>
          <w:szCs w:val="20"/>
        </w:rPr>
        <w:t xml:space="preserve">Removing a balance entry makes the account fall back to the next most recent figure — it does not restore what was there before the history existed.</w:t>
      </w:r>
    </w:p>
    <w:p>
      <w:pPr>
        <w:pBdr>
          <w:left w:val="single" w:color="E4CE9A" w:sz="18"/>
        </w:pBdr>
        <w:shd w:fill="FBF3E3" w:val="clear"/>
        <w:spacing w:after="70" w:before="60"/>
        <w:ind w:left="200" w:right="120"/>
      </w:pPr>
      <w:r>
        <w:rPr>
          <w:rFonts w:ascii="Calibri" w:cs="Calibri" w:eastAsia="Calibri" w:hAnsi="Calibri"/>
          <w:i/>
          <w:iCs/>
          <w:color w:val="7A5A19"/>
          <w:sz w:val="20"/>
          <w:szCs w:val="20"/>
        </w:rPr>
        <w:t xml:space="preserve">On a consolidated statement covering several accounts the platform will not add them together. It flags low confidence and says so. Enter the account's own figure yourself.</w:t>
      </w:r>
    </w:p>
    <w:p>
      <w:pPr>
        <w:keepNext/>
        <w:pBdr>
          <w:bottom w:val="single" w:color="CEB684" w:sz="8"/>
        </w:pBdr>
        <w:spacing w:after="70" w:before="190"/>
      </w:pPr>
      <w:r>
        <w:rPr>
          <w:rFonts w:ascii="Georgia" w:cs="Georgia" w:eastAsia="Georgia" w:hAnsi="Georgia"/>
          <w:b/>
          <w:bCs/>
          <w:color w:val="092B49"/>
          <w:sz w:val="25"/>
          <w:szCs w:val="25"/>
        </w:rPr>
        <w:t xml:space="preserve">5.  Valuables</w:t>
      </w:r>
    </w:p>
    <w:p>
      <w:pPr>
        <w:spacing w:after="80" w:before="0"/>
      </w:pPr>
      <w:r>
        <w:rPr>
          <w:rFonts w:ascii="Calibri" w:cs="Calibri" w:eastAsia="Calibri" w:hAnsi="Calibri"/>
          <w:i/>
          <w:iCs/>
          <w:color w:val="5A6E84"/>
          <w:sz w:val="19"/>
          <w:szCs w:val="19"/>
        </w:rPr>
        <w:t xml:space="preserve">Art, jewellery, vehicles and collections, and — more usefully — whether each one is actually insured.</w:t>
      </w:r>
    </w:p>
    <w:p>
      <w:pPr>
        <w:keepNext/>
        <w:spacing w:after="30" w:before="85"/>
      </w:pPr>
      <w:r>
        <w:rPr>
          <w:rFonts w:ascii="Calibri" w:cs="Calibri" w:eastAsia="Calibri" w:hAnsi="Calibri"/>
          <w:b/>
          <w:bCs/>
          <w:caps/>
          <w:color w:val="5A6E84"/>
          <w:sz w:val="15"/>
          <w:szCs w:val="15"/>
        </w:rPr>
        <w:t xml:space="preserve">Procedure</w:t>
      </w:r>
    </w:p>
    <w:p>
      <w:pPr>
        <w:spacing w:after="36"/>
        <w:ind w:left="340" w:hanging="250"/>
      </w:pPr>
      <w:r>
        <w:rPr>
          <w:rFonts w:ascii="Calibri" w:cs="Calibri" w:eastAsia="Calibri" w:hAnsi="Calibri"/>
          <w:b/>
          <w:bCs/>
          <w:color w:val="CEB684"/>
          <w:sz w:val="19"/>
          <w:szCs w:val="19"/>
        </w:rPr>
        <w:t xml:space="preserve">1.  </w:t>
      </w:r>
      <w:r>
        <w:rPr>
          <w:rFonts w:ascii="Calibri" w:cs="Calibri" w:eastAsia="Calibri" w:hAnsi="Calibri"/>
          <w:color w:val="1E293B"/>
          <w:sz w:val="20"/>
          <w:szCs w:val="20"/>
        </w:rPr>
        <w:t xml:space="preserve">Record each item with category and value, and link it to the schedule or endorsement that covers it.</w:t>
      </w:r>
    </w:p>
    <w:p>
      <w:pPr>
        <w:spacing w:after="36"/>
        <w:ind w:left="340" w:hanging="250"/>
      </w:pPr>
      <w:r>
        <w:rPr>
          <w:rFonts w:ascii="Calibri" w:cs="Calibri" w:eastAsia="Calibri" w:hAnsi="Calibri"/>
          <w:b/>
          <w:bCs/>
          <w:color w:val="CEB684"/>
          <w:sz w:val="19"/>
          <w:szCs w:val="19"/>
        </w:rPr>
        <w:t xml:space="preserve">2.  </w:t>
      </w:r>
      <w:r>
        <w:rPr>
          <w:rFonts w:ascii="Calibri" w:cs="Calibri" w:eastAsia="Calibri" w:hAnsi="Calibri"/>
          <w:color w:val="1E293B"/>
          <w:sz w:val="20"/>
          <w:szCs w:val="20"/>
        </w:rPr>
        <w:t xml:space="preserve">Anything without cover reads 'Not scheduled' rather than showing nothing, so a gap is visible instead of absent.</w:t>
      </w:r>
    </w:p>
    <w:p>
      <w:pPr>
        <w:spacing w:after="36"/>
        <w:ind w:left="340" w:hanging="250"/>
      </w:pPr>
      <w:r>
        <w:rPr>
          <w:rFonts w:ascii="Calibri" w:cs="Calibri" w:eastAsia="Calibri" w:hAnsi="Calibri"/>
          <w:b/>
          <w:bCs/>
          <w:color w:val="CEB684"/>
          <w:sz w:val="19"/>
          <w:szCs w:val="19"/>
        </w:rPr>
        <w:t xml:space="preserve">3.  </w:t>
      </w:r>
      <w:r>
        <w:rPr>
          <w:rFonts w:ascii="Calibri" w:cs="Calibri" w:eastAsia="Calibri" w:hAnsi="Calibri"/>
          <w:color w:val="1E293B"/>
          <w:sz w:val="20"/>
          <w:szCs w:val="20"/>
        </w:rPr>
        <w:t xml:space="preserve">Refresh appraisals on the cycle the insurer requires and file the new valuation against the item.</w:t>
      </w:r>
    </w:p>
    <w:p>
      <w:pPr>
        <w:keepNext/>
        <w:spacing w:after="30" w:before="85"/>
      </w:pPr>
      <w:r>
        <w:rPr>
          <w:rFonts w:ascii="Calibri" w:cs="Calibri" w:eastAsia="Calibri" w:hAnsi="Calibri"/>
          <w:b/>
          <w:bCs/>
          <w:caps/>
          <w:color w:val="5A6E84"/>
          <w:sz w:val="15"/>
          <w:szCs w:val="15"/>
        </w:rPr>
        <w:t xml:space="preserve">Traps</w:t>
      </w:r>
    </w:p>
    <w:p>
      <w:pPr>
        <w:pBdr>
          <w:left w:val="single" w:color="E4CE9A" w:sz="18"/>
        </w:pBdr>
        <w:shd w:fill="FBF3E3" w:val="clear"/>
        <w:spacing w:after="70" w:before="60"/>
        <w:ind w:left="200" w:right="120"/>
      </w:pPr>
      <w:r>
        <w:rPr>
          <w:rFonts w:ascii="Calibri" w:cs="Calibri" w:eastAsia="Calibri" w:hAnsi="Calibri"/>
          <w:i/>
          <w:iCs/>
          <w:color w:val="7A5A19"/>
          <w:sz w:val="20"/>
          <w:szCs w:val="20"/>
        </w:rPr>
        <w:t xml:space="preserve">An unrecognised category falls into 'Other' rather than disappearing. This exists because a vehicle once vanished from a household's list while still counting toward the total — if a figure and a list disagree, that is the first thing to check.</w:t>
      </w:r>
    </w:p>
    <w:p>
      <w:pPr>
        <w:keepNext/>
        <w:pBdr>
          <w:bottom w:val="single" w:color="CEB684" w:sz="8"/>
        </w:pBdr>
        <w:spacing w:after="70" w:before="190"/>
      </w:pPr>
      <w:r>
        <w:rPr>
          <w:rFonts w:ascii="Georgia" w:cs="Georgia" w:eastAsia="Georgia" w:hAnsi="Georgia"/>
          <w:b/>
          <w:bCs/>
          <w:color w:val="092B49"/>
          <w:sz w:val="25"/>
          <w:szCs w:val="25"/>
        </w:rPr>
        <w:t xml:space="preserve">6.  Cash flow</w:t>
      </w:r>
    </w:p>
    <w:p>
      <w:pPr>
        <w:spacing w:after="80" w:before="0"/>
      </w:pPr>
      <w:r>
        <w:rPr>
          <w:rFonts w:ascii="Calibri" w:cs="Calibri" w:eastAsia="Calibri" w:hAnsi="Calibri"/>
          <w:i/>
          <w:iCs/>
          <w:color w:val="5A6E84"/>
          <w:sz w:val="19"/>
          <w:szCs w:val="19"/>
        </w:rPr>
        <w:t xml:space="preserve">What comes in, what goes out, what the firm pays on the household's behalf, and what that looks like over several years.</w:t>
      </w:r>
    </w:p>
    <w:p>
      <w:pPr>
        <w:keepNext/>
        <w:spacing w:after="30" w:before="85"/>
      </w:pPr>
      <w:r>
        <w:rPr>
          <w:rFonts w:ascii="Calibri" w:cs="Calibri" w:eastAsia="Calibri" w:hAnsi="Calibri"/>
          <w:b/>
          <w:bCs/>
          <w:caps/>
          <w:color w:val="5A6E84"/>
          <w:sz w:val="15"/>
          <w:szCs w:val="15"/>
        </w:rPr>
        <w:t xml:space="preserve">Procedure</w:t>
      </w:r>
    </w:p>
    <w:p>
      <w:pPr>
        <w:spacing w:after="36"/>
        <w:ind w:left="340" w:hanging="250"/>
      </w:pPr>
      <w:r>
        <w:rPr>
          <w:rFonts w:ascii="Calibri" w:cs="Calibri" w:eastAsia="Calibri" w:hAnsi="Calibri"/>
          <w:b/>
          <w:bCs/>
          <w:color w:val="CEB684"/>
          <w:sz w:val="19"/>
          <w:szCs w:val="19"/>
        </w:rPr>
        <w:t xml:space="preserve">1.  </w:t>
      </w:r>
      <w:r>
        <w:rPr>
          <w:rFonts w:ascii="Calibri" w:cs="Calibri" w:eastAsia="Calibri" w:hAnsi="Calibri"/>
          <w:color w:val="1E293B"/>
          <w:sz w:val="20"/>
          <w:szCs w:val="20"/>
        </w:rPr>
        <w:t xml:space="preserve">Record income and expense events with their tax treatment. Recurring items go in once.</w:t>
      </w:r>
    </w:p>
    <w:p>
      <w:pPr>
        <w:spacing w:after="36"/>
        <w:ind w:left="340" w:hanging="250"/>
      </w:pPr>
      <w:r>
        <w:rPr>
          <w:rFonts w:ascii="Calibri" w:cs="Calibri" w:eastAsia="Calibri" w:hAnsi="Calibri"/>
          <w:b/>
          <w:bCs/>
          <w:color w:val="CEB684"/>
          <w:sz w:val="19"/>
          <w:szCs w:val="19"/>
        </w:rPr>
        <w:t xml:space="preserve">2.  </w:t>
      </w:r>
      <w:r>
        <w:rPr>
          <w:rFonts w:ascii="Calibri" w:cs="Calibri" w:eastAsia="Calibri" w:hAnsi="Calibri"/>
          <w:color w:val="1E293B"/>
          <w:sz w:val="20"/>
          <w:szCs w:val="20"/>
        </w:rPr>
        <w:t xml:space="preserve">Mark items the firm pays on the household's behalf. When paid, the record shows who paid it and when.</w:t>
      </w:r>
    </w:p>
    <w:p>
      <w:pPr>
        <w:spacing w:after="36"/>
        <w:ind w:left="340" w:hanging="250"/>
      </w:pPr>
      <w:r>
        <w:rPr>
          <w:rFonts w:ascii="Calibri" w:cs="Calibri" w:eastAsia="Calibri" w:hAnsi="Calibri"/>
          <w:b/>
          <w:bCs/>
          <w:color w:val="CEB684"/>
          <w:sz w:val="19"/>
          <w:szCs w:val="19"/>
        </w:rPr>
        <w:t xml:space="preserve">3.  </w:t>
      </w:r>
      <w:r>
        <w:rPr>
          <w:rFonts w:ascii="Calibri" w:cs="Calibri" w:eastAsia="Calibri" w:hAnsi="Calibri"/>
          <w:color w:val="1E293B"/>
          <w:sz w:val="20"/>
          <w:szCs w:val="20"/>
        </w:rPr>
        <w:t xml:space="preserve">Use the multi-year projection before any conversation about a large outflow — a capital call, a tax instalment, a purchase.</w:t>
      </w:r>
    </w:p>
    <w:p>
      <w:pPr>
        <w:keepNext/>
        <w:pBdr>
          <w:bottom w:val="single" w:color="CEB684" w:sz="8"/>
        </w:pBdr>
        <w:spacing w:after="70" w:before="190"/>
      </w:pPr>
      <w:r>
        <w:rPr>
          <w:rFonts w:ascii="Georgia" w:cs="Georgia" w:eastAsia="Georgia" w:hAnsi="Georgia"/>
          <w:b/>
          <w:bCs/>
          <w:color w:val="092B49"/>
          <w:sz w:val="25"/>
          <w:szCs w:val="25"/>
        </w:rPr>
        <w:t xml:space="preserve">7.  The Vault</w:t>
      </w:r>
    </w:p>
    <w:p>
      <w:pPr>
        <w:spacing w:after="80" w:before="0"/>
      </w:pPr>
      <w:r>
        <w:rPr>
          <w:rFonts w:ascii="Calibri" w:cs="Calibri" w:eastAsia="Calibri" w:hAnsi="Calibri"/>
          <w:i/>
          <w:iCs/>
          <w:color w:val="5A6E84"/>
          <w:sz w:val="19"/>
          <w:szCs w:val="19"/>
        </w:rPr>
        <w:t xml:space="preserve">One place for every document, organised so it can be found, and readable by the assistant so it can be used.</w:t>
      </w:r>
    </w:p>
    <w:p>
      <w:pPr>
        <w:keepNext/>
        <w:spacing w:after="30" w:before="85"/>
      </w:pPr>
      <w:r>
        <w:rPr>
          <w:rFonts w:ascii="Calibri" w:cs="Calibri" w:eastAsia="Calibri" w:hAnsi="Calibri"/>
          <w:b/>
          <w:bCs/>
          <w:caps/>
          <w:color w:val="5A6E84"/>
          <w:sz w:val="15"/>
          <w:szCs w:val="15"/>
        </w:rPr>
        <w:t xml:space="preserve">Procedure</w:t>
      </w:r>
    </w:p>
    <w:p>
      <w:pPr>
        <w:spacing w:after="36"/>
        <w:ind w:left="340" w:hanging="250"/>
      </w:pPr>
      <w:r>
        <w:rPr>
          <w:rFonts w:ascii="Calibri" w:cs="Calibri" w:eastAsia="Calibri" w:hAnsi="Calibri"/>
          <w:b/>
          <w:bCs/>
          <w:color w:val="CEB684"/>
          <w:sz w:val="19"/>
          <w:szCs w:val="19"/>
        </w:rPr>
        <w:t xml:space="preserve">1.  </w:t>
      </w:r>
      <w:r>
        <w:rPr>
          <w:rFonts w:ascii="Calibri" w:cs="Calibri" w:eastAsia="Calibri" w:hAnsi="Calibri"/>
          <w:color w:val="1E293B"/>
          <w:sz w:val="20"/>
          <w:szCs w:val="20"/>
        </w:rPr>
        <w:t xml:space="preserve">Upload into the folder matching the document's category. Choosing a property section pre-selects the right folder for you.</w:t>
      </w:r>
    </w:p>
    <w:p>
      <w:pPr>
        <w:spacing w:after="36"/>
        <w:ind w:left="340" w:hanging="250"/>
      </w:pPr>
      <w:r>
        <w:rPr>
          <w:rFonts w:ascii="Calibri" w:cs="Calibri" w:eastAsia="Calibri" w:hAnsi="Calibri"/>
          <w:b/>
          <w:bCs/>
          <w:color w:val="CEB684"/>
          <w:sz w:val="19"/>
          <w:szCs w:val="19"/>
        </w:rPr>
        <w:t xml:space="preserve">2.  </w:t>
      </w:r>
      <w:r>
        <w:rPr>
          <w:rFonts w:ascii="Calibri" w:cs="Calibri" w:eastAsia="Calibri" w:hAnsi="Calibri"/>
          <w:color w:val="1E293B"/>
          <w:sz w:val="20"/>
          <w:szCs w:val="20"/>
        </w:rPr>
        <w:t xml:space="preserve">Every upload is read — embedded text where it exists, OCR for scans — so the assistant can answer from it afterwards.</w:t>
      </w:r>
    </w:p>
    <w:p>
      <w:pPr>
        <w:spacing w:after="36"/>
        <w:ind w:left="340" w:hanging="250"/>
      </w:pPr>
      <w:r>
        <w:rPr>
          <w:rFonts w:ascii="Calibri" w:cs="Calibri" w:eastAsia="Calibri" w:hAnsi="Calibri"/>
          <w:b/>
          <w:bCs/>
          <w:color w:val="CEB684"/>
          <w:sz w:val="19"/>
          <w:szCs w:val="19"/>
        </w:rPr>
        <w:t xml:space="preserve">3.  </w:t>
      </w:r>
      <w:r>
        <w:rPr>
          <w:rFonts w:ascii="Calibri" w:cs="Calibri" w:eastAsia="Calibri" w:hAnsi="Calibri"/>
          <w:color w:val="1E293B"/>
          <w:sz w:val="20"/>
          <w:szCs w:val="20"/>
        </w:rPr>
        <w:t xml:space="preserve">Link the document to what it supports: a property section, a valuables schedule, or a portfolio account.</w:t>
      </w:r>
    </w:p>
    <w:p>
      <w:pPr>
        <w:spacing w:after="36"/>
        <w:ind w:left="340" w:hanging="250"/>
      </w:pPr>
      <w:r>
        <w:rPr>
          <w:rFonts w:ascii="Calibri" w:cs="Calibri" w:eastAsia="Calibri" w:hAnsi="Calibri"/>
          <w:b/>
          <w:bCs/>
          <w:color w:val="CEB684"/>
          <w:sz w:val="19"/>
          <w:szCs w:val="19"/>
        </w:rPr>
        <w:t xml:space="preserve">4.  </w:t>
      </w:r>
      <w:r>
        <w:rPr>
          <w:rFonts w:ascii="Calibri" w:cs="Calibri" w:eastAsia="Calibri" w:hAnsi="Calibri"/>
          <w:color w:val="1E293B"/>
          <w:sz w:val="20"/>
          <w:szCs w:val="20"/>
        </w:rPr>
        <w:t xml:space="preserve">Documents open through short-lived signed links. There are no permanent public URLs to a client's papers.</w:t>
      </w:r>
    </w:p>
    <w:p>
      <w:pPr>
        <w:spacing w:after="36"/>
        <w:ind w:left="340" w:hanging="250"/>
      </w:pPr>
      <w:r>
        <w:rPr>
          <w:rFonts w:ascii="Calibri" w:cs="Calibri" w:eastAsia="Calibri" w:hAnsi="Calibri"/>
          <w:b/>
          <w:bCs/>
          <w:color w:val="CEB684"/>
          <w:sz w:val="19"/>
          <w:szCs w:val="19"/>
        </w:rPr>
        <w:t xml:space="preserve">5.  </w:t>
      </w:r>
      <w:r>
        <w:rPr>
          <w:rFonts w:ascii="Calibri" w:cs="Calibri" w:eastAsia="Calibri" w:hAnsi="Calibri"/>
          <w:color w:val="1E293B"/>
          <w:sz w:val="20"/>
          <w:szCs w:val="20"/>
        </w:rPr>
        <w:t xml:space="preserve">Every download is logged against the person who opened it.</w:t>
      </w:r>
    </w:p>
    <w:p>
      <w:pPr>
        <w:keepNext/>
        <w:spacing w:after="30" w:before="85"/>
      </w:pPr>
      <w:r>
        <w:rPr>
          <w:rFonts w:ascii="Calibri" w:cs="Calibri" w:eastAsia="Calibri" w:hAnsi="Calibri"/>
          <w:b/>
          <w:bCs/>
          <w:caps/>
          <w:color w:val="5A6E84"/>
          <w:sz w:val="15"/>
          <w:szCs w:val="15"/>
        </w:rPr>
        <w:t xml:space="preserve">Traps</w:t>
      </w:r>
    </w:p>
    <w:p>
      <w:pPr>
        <w:pBdr>
          <w:left w:val="single" w:color="E4CE9A" w:sz="18"/>
        </w:pBdr>
        <w:shd w:fill="FBF3E3" w:val="clear"/>
        <w:spacing w:after="70" w:before="60"/>
        <w:ind w:left="200" w:right="120"/>
      </w:pPr>
      <w:r>
        <w:rPr>
          <w:rFonts w:ascii="Calibri" w:cs="Calibri" w:eastAsia="Calibri" w:hAnsi="Calibri"/>
          <w:i/>
          <w:iCs/>
          <w:color w:val="7A5A19"/>
          <w:sz w:val="20"/>
          <w:szCs w:val="20"/>
        </w:rPr>
        <w:t xml:space="preserve">An unrecognised category lands in 'Other' rather than vanishing. Same reason as valuables.</w:t>
      </w:r>
    </w:p>
    <w:p>
      <w:pPr>
        <w:pBdr>
          <w:left w:val="single" w:color="E4CE9A" w:sz="18"/>
        </w:pBdr>
        <w:shd w:fill="FBF3E3" w:val="clear"/>
        <w:spacing w:after="70" w:before="60"/>
        <w:ind w:left="200" w:right="120"/>
      </w:pPr>
      <w:r>
        <w:rPr>
          <w:rFonts w:ascii="Calibri" w:cs="Calibri" w:eastAsia="Calibri" w:hAnsi="Calibri"/>
          <w:i/>
          <w:iCs/>
          <w:color w:val="7A5A19"/>
          <w:sz w:val="20"/>
          <w:szCs w:val="20"/>
        </w:rPr>
        <w:t xml:space="preserve">A document filed against an account still appears on the account card even if no balance entry references it, so nothing you file becomes invisible.</w:t>
      </w:r>
    </w:p>
    <w:p>
      <w:pPr>
        <w:keepNext/>
        <w:pBdr>
          <w:bottom w:val="single" w:color="CEB684" w:sz="8"/>
        </w:pBdr>
        <w:spacing w:after="70" w:before="190"/>
      </w:pPr>
      <w:r>
        <w:rPr>
          <w:rFonts w:ascii="Georgia" w:cs="Georgia" w:eastAsia="Georgia" w:hAnsi="Georgia"/>
          <w:b/>
          <w:bCs/>
          <w:color w:val="092B49"/>
          <w:sz w:val="25"/>
          <w:szCs w:val="25"/>
        </w:rPr>
        <w:t xml:space="preserve">8.  Obligations and workflow cycles</w:t>
      </w:r>
    </w:p>
    <w:p>
      <w:pPr>
        <w:spacing w:after="80" w:before="0"/>
      </w:pPr>
      <w:r>
        <w:rPr>
          <w:rFonts w:ascii="Calibri" w:cs="Calibri" w:eastAsia="Calibri" w:hAnsi="Calibri"/>
          <w:i/>
          <w:iCs/>
          <w:color w:val="5A6E84"/>
          <w:sz w:val="19"/>
          <w:szCs w:val="19"/>
        </w:rPr>
        <w:t xml:space="preserve">The difference between software that reminds you and software that carries a commitment to completion. Nine playbooks ship with the platform, covering insurance, trusts and estates, tax and investments.</w:t>
      </w:r>
    </w:p>
    <w:p>
      <w:pPr>
        <w:keepNext/>
        <w:spacing w:after="30" w:before="85"/>
      </w:pPr>
      <w:r>
        <w:rPr>
          <w:rFonts w:ascii="Calibri" w:cs="Calibri" w:eastAsia="Calibri" w:hAnsi="Calibri"/>
          <w:b/>
          <w:bCs/>
          <w:caps/>
          <w:color w:val="5A6E84"/>
          <w:sz w:val="15"/>
          <w:szCs w:val="15"/>
        </w:rPr>
        <w:t xml:space="preserve">Procedure</w:t>
      </w:r>
    </w:p>
    <w:p>
      <w:pPr>
        <w:spacing w:after="36"/>
        <w:ind w:left="340" w:hanging="250"/>
      </w:pPr>
      <w:r>
        <w:rPr>
          <w:rFonts w:ascii="Calibri" w:cs="Calibri" w:eastAsia="Calibri" w:hAnsi="Calibri"/>
          <w:b/>
          <w:bCs/>
          <w:color w:val="CEB684"/>
          <w:sz w:val="19"/>
          <w:szCs w:val="19"/>
        </w:rPr>
        <w:t xml:space="preserve">1.  </w:t>
      </w:r>
      <w:r>
        <w:rPr>
          <w:rFonts w:ascii="Calibri" w:cs="Calibri" w:eastAsia="Calibri" w:hAnsi="Calibri"/>
          <w:color w:val="1E293B"/>
          <w:sz w:val="20"/>
          <w:szCs w:val="20"/>
        </w:rPr>
        <w:t xml:space="preserve">Create the obligation on the household: what it is, the amount, the due date, how often it recurs, the reference number and counterparty, and the accounts money moves between.</w:t>
      </w:r>
    </w:p>
    <w:p>
      <w:pPr>
        <w:spacing w:after="36"/>
        <w:ind w:left="340" w:hanging="250"/>
      </w:pPr>
      <w:r>
        <w:rPr>
          <w:rFonts w:ascii="Calibri" w:cs="Calibri" w:eastAsia="Calibri" w:hAnsi="Calibri"/>
          <w:b/>
          <w:bCs/>
          <w:color w:val="CEB684"/>
          <w:sz w:val="19"/>
          <w:szCs w:val="19"/>
        </w:rPr>
        <w:t xml:space="preserve">2.  </w:t>
      </w:r>
      <w:r>
        <w:rPr>
          <w:rFonts w:ascii="Calibri" w:cs="Calibri" w:eastAsia="Calibri" w:hAnsi="Calibri"/>
          <w:color w:val="1E293B"/>
          <w:sz w:val="20"/>
          <w:szCs w:val="20"/>
        </w:rPr>
        <w:t xml:space="preserve">Answer the conditional questions on the obligation before starting a cycle. Does the trust require Crummey notices? Is the annuity paid in kind? Should the accountant sign off? These change every downstream date, which is why they are asked first.</w:t>
      </w:r>
    </w:p>
    <w:p>
      <w:pPr>
        <w:spacing w:after="36"/>
        <w:ind w:left="340" w:hanging="250"/>
      </w:pPr>
      <w:r>
        <w:rPr>
          <w:rFonts w:ascii="Calibri" w:cs="Calibri" w:eastAsia="Calibri" w:hAnsi="Calibri"/>
          <w:b/>
          <w:bCs/>
          <w:color w:val="CEB684"/>
          <w:sz w:val="19"/>
          <w:szCs w:val="19"/>
        </w:rPr>
        <w:t xml:space="preserve">3.  </w:t>
      </w:r>
      <w:r>
        <w:rPr>
          <w:rFonts w:ascii="Calibri" w:cs="Calibri" w:eastAsia="Calibri" w:hAnsi="Calibri"/>
          <w:color w:val="1E293B"/>
          <w:sz w:val="20"/>
          <w:szCs w:val="20"/>
        </w:rPr>
        <w:t xml:space="preserve">Start the cycle. Every step is laid out against a real calendar date, counted back from the due date.</w:t>
      </w:r>
    </w:p>
    <w:p>
      <w:pPr>
        <w:spacing w:after="36"/>
        <w:ind w:left="340" w:hanging="250"/>
      </w:pPr>
      <w:r>
        <w:rPr>
          <w:rFonts w:ascii="Calibri" w:cs="Calibri" w:eastAsia="Calibri" w:hAnsi="Calibri"/>
          <w:b/>
          <w:bCs/>
          <w:color w:val="CEB684"/>
          <w:sz w:val="19"/>
          <w:szCs w:val="19"/>
        </w:rPr>
        <w:t xml:space="preserve">4.  </w:t>
      </w:r>
      <w:r>
        <w:rPr>
          <w:rFonts w:ascii="Calibri" w:cs="Calibri" w:eastAsia="Calibri" w:hAnsi="Calibri"/>
          <w:color w:val="1E293B"/>
          <w:sz w:val="20"/>
          <w:szCs w:val="20"/>
        </w:rPr>
        <w:t xml:space="preserve">If a cycle is started too late for its own lead times it flags itself at risk on day one and names the step that has already slipped. Deal with that immediately rather than working through the list.</w:t>
      </w:r>
    </w:p>
    <w:p>
      <w:pPr>
        <w:spacing w:after="36"/>
        <w:ind w:left="340" w:hanging="250"/>
      </w:pPr>
      <w:r>
        <w:rPr>
          <w:rFonts w:ascii="Calibri" w:cs="Calibri" w:eastAsia="Calibri" w:hAnsi="Calibri"/>
          <w:b/>
          <w:bCs/>
          <w:color w:val="CEB684"/>
          <w:sz w:val="19"/>
          <w:szCs w:val="19"/>
        </w:rPr>
        <w:t xml:space="preserve">5.  </w:t>
      </w:r>
      <w:r>
        <w:rPr>
          <w:rFonts w:ascii="Calibri" w:cs="Calibri" w:eastAsia="Calibri" w:hAnsi="Calibri"/>
          <w:color w:val="1E293B"/>
          <w:sz w:val="20"/>
          <w:szCs w:val="20"/>
        </w:rPr>
        <w:t xml:space="preserve">Steps that do not apply are written as skipped and stay visible, so nothing looks forgotten.</w:t>
      </w:r>
    </w:p>
    <w:p>
      <w:pPr>
        <w:spacing w:after="36"/>
        <w:ind w:left="340" w:hanging="250"/>
      </w:pPr>
      <w:r>
        <w:rPr>
          <w:rFonts w:ascii="Calibri" w:cs="Calibri" w:eastAsia="Calibri" w:hAnsi="Calibri"/>
          <w:b/>
          <w:bCs/>
          <w:color w:val="CEB684"/>
          <w:sz w:val="19"/>
          <w:szCs w:val="19"/>
        </w:rPr>
        <w:t xml:space="preserve">6.  </w:t>
      </w:r>
      <w:r>
        <w:rPr>
          <w:rFonts w:ascii="Calibri" w:cs="Calibri" w:eastAsia="Calibri" w:hAnsi="Calibri"/>
          <w:color w:val="1E293B"/>
          <w:sz w:val="20"/>
          <w:szCs w:val="20"/>
        </w:rPr>
        <w:t xml:space="preserve">Read the playbook in Resources before running it against a household for the first time.</w:t>
      </w:r>
    </w:p>
    <w:p>
      <w:pPr>
        <w:keepNext/>
        <w:spacing w:after="30" w:before="85"/>
      </w:pPr>
      <w:r>
        <w:rPr>
          <w:rFonts w:ascii="Calibri" w:cs="Calibri" w:eastAsia="Calibri" w:hAnsi="Calibri"/>
          <w:b/>
          <w:bCs/>
          <w:caps/>
          <w:color w:val="5A6E84"/>
          <w:sz w:val="15"/>
          <w:szCs w:val="15"/>
        </w:rPr>
        <w:t xml:space="preserve">Before you move on</w:t>
      </w:r>
    </w:p>
    <w:p>
      <w:pPr>
        <w:pStyle w:val="ListParagraph"/>
        <w:numPr>
          <w:ilvl w:val="0"/>
          <w:numId w:val="2"/>
        </w:numPr>
        <w:spacing w:after="36"/>
      </w:pPr>
      <w:r>
        <w:rPr>
          <w:rFonts w:ascii="Calibri" w:cs="Calibri" w:eastAsia="Calibri" w:hAnsi="Calibri"/>
          <w:color w:val="1E293B"/>
          <w:sz w:val="20"/>
          <w:szCs w:val="20"/>
        </w:rPr>
        <w:t xml:space="preserve">The conditional answers on the obligation match the trust document or the client's instruction, not an assumption.</w:t>
      </w:r>
    </w:p>
    <w:p>
      <w:pPr>
        <w:pStyle w:val="ListParagraph"/>
        <w:numPr>
          <w:ilvl w:val="0"/>
          <w:numId w:val="2"/>
        </w:numPr>
        <w:spacing w:after="36"/>
      </w:pPr>
      <w:r>
        <w:rPr>
          <w:rFonts w:ascii="Calibri" w:cs="Calibri" w:eastAsia="Calibri" w:hAnsi="Calibri"/>
          <w:color w:val="1E293B"/>
          <w:sz w:val="20"/>
          <w:szCs w:val="20"/>
        </w:rPr>
        <w:t xml:space="preserve">The dates the cycle produced look right for the obligation — a premium 60 days out, a withdrawal window of the length the trust actually specifies.</w:t>
      </w:r>
    </w:p>
    <w:p>
      <w:pPr>
        <w:keepNext/>
        <w:spacing w:after="30" w:before="85"/>
      </w:pPr>
      <w:r>
        <w:rPr>
          <w:rFonts w:ascii="Calibri" w:cs="Calibri" w:eastAsia="Calibri" w:hAnsi="Calibri"/>
          <w:b/>
          <w:bCs/>
          <w:caps/>
          <w:color w:val="5A6E84"/>
          <w:sz w:val="15"/>
          <w:szCs w:val="15"/>
        </w:rPr>
        <w:t xml:space="preserve">Traps</w:t>
      </w:r>
    </w:p>
    <w:p>
      <w:pPr>
        <w:pBdr>
          <w:left w:val="single" w:color="E4CE9A" w:sz="18"/>
        </w:pBdr>
        <w:shd w:fill="FBF3E3" w:val="clear"/>
        <w:spacing w:after="70" w:before="60"/>
        <w:ind w:left="200" w:right="120"/>
      </w:pPr>
      <w:r>
        <w:rPr>
          <w:rFonts w:ascii="Calibri" w:cs="Calibri" w:eastAsia="Calibri" w:hAnsi="Calibri"/>
          <w:i/>
          <w:iCs/>
          <w:color w:val="7A5A19"/>
          <w:sz w:val="20"/>
          <w:szCs w:val="20"/>
        </w:rPr>
        <w:t xml:space="preserve">Lead times shipped with the platform are a considered starting point, not advice. Have counsel confirm them for the jurisdiction before a playbook runs against a real household. Admins can edit them; others cannot, because changing a lead time changes when client money gets requested.</w:t>
      </w:r>
    </w:p>
    <w:p>
      <w:pPr>
        <w:pBdr>
          <w:left w:val="single" w:color="E4CE9A" w:sz="18"/>
        </w:pBdr>
        <w:shd w:fill="FBF3E3" w:val="clear"/>
        <w:spacing w:after="70" w:before="60"/>
        <w:ind w:left="200" w:right="120"/>
      </w:pPr>
      <w:r>
        <w:rPr>
          <w:rFonts w:ascii="Calibri" w:cs="Calibri" w:eastAsia="Calibri" w:hAnsi="Calibri"/>
          <w:i/>
          <w:iCs/>
          <w:color w:val="7A5A19"/>
          <w:sz w:val="20"/>
          <w:szCs w:val="20"/>
        </w:rPr>
        <w:t xml:space="preserve">Amending an obligation does not rewrite a cycle already in flight. The conditional answers are captured when the cycle starts, on purpose.</w:t>
      </w:r>
    </w:p>
    <w:p>
      <w:pPr>
        <w:pBdr>
          <w:left w:val="single" w:color="E4CE9A" w:sz="18"/>
        </w:pBdr>
        <w:shd w:fill="FBF3E3" w:val="clear"/>
        <w:spacing w:after="70" w:before="60"/>
        <w:ind w:left="200" w:right="120"/>
      </w:pPr>
      <w:r>
        <w:rPr>
          <w:rFonts w:ascii="Calibri" w:cs="Calibri" w:eastAsia="Calibri" w:hAnsi="Calibri"/>
          <w:i/>
          <w:iCs/>
          <w:color w:val="7A5A19"/>
          <w:sz w:val="20"/>
          <w:szCs w:val="20"/>
        </w:rPr>
        <w:t xml:space="preserve">Partnership K-1 collection uses scheduled follow-ups rather than chasing until a document arrives. Skip the follow-ups that are not needed; a skipped step still shows it was considered.</w:t>
      </w:r>
    </w:p>
    <w:p>
      <w:pPr>
        <w:keepNext/>
        <w:pBdr>
          <w:bottom w:val="single" w:color="CEB684" w:sz="8"/>
        </w:pBdr>
        <w:spacing w:after="70" w:before="190"/>
      </w:pPr>
      <w:r>
        <w:rPr>
          <w:rFonts w:ascii="Georgia" w:cs="Georgia" w:eastAsia="Georgia" w:hAnsi="Georgia"/>
          <w:b/>
          <w:bCs/>
          <w:color w:val="092B49"/>
          <w:sz w:val="25"/>
          <w:szCs w:val="25"/>
        </w:rPr>
        <w:t xml:space="preserve">9.  Preparing, approving and sending correspondence</w:t>
      </w:r>
    </w:p>
    <w:p>
      <w:pPr>
        <w:spacing w:after="80" w:before="0"/>
      </w:pPr>
      <w:r>
        <w:rPr>
          <w:rFonts w:ascii="Calibri" w:cs="Calibri" w:eastAsia="Calibri" w:hAnsi="Calibri"/>
          <w:i/>
          <w:iCs/>
          <w:color w:val="5A6E84"/>
          <w:sz w:val="19"/>
          <w:szCs w:val="19"/>
        </w:rPr>
        <w:t xml:space="preserve">This is where the platform does the most and is trusted the least by design. It assembles the document; a person decides.</w:t>
      </w:r>
    </w:p>
    <w:p>
      <w:pPr>
        <w:keepNext/>
        <w:spacing w:after="30" w:before="85"/>
      </w:pPr>
      <w:r>
        <w:rPr>
          <w:rFonts w:ascii="Calibri" w:cs="Calibri" w:eastAsia="Calibri" w:hAnsi="Calibri"/>
          <w:b/>
          <w:bCs/>
          <w:caps/>
          <w:color w:val="5A6E84"/>
          <w:sz w:val="15"/>
          <w:szCs w:val="15"/>
        </w:rPr>
        <w:t xml:space="preserve">Procedure</w:t>
      </w:r>
    </w:p>
    <w:p>
      <w:pPr>
        <w:spacing w:after="36"/>
        <w:ind w:left="340" w:hanging="250"/>
      </w:pPr>
      <w:r>
        <w:rPr>
          <w:rFonts w:ascii="Calibri" w:cs="Calibri" w:eastAsia="Calibri" w:hAnsi="Calibri"/>
          <w:b/>
          <w:bCs/>
          <w:color w:val="CEB684"/>
          <w:sz w:val="19"/>
          <w:szCs w:val="19"/>
        </w:rPr>
        <w:t xml:space="preserve">1.  </w:t>
      </w:r>
      <w:r>
        <w:rPr>
          <w:rFonts w:ascii="Calibri" w:cs="Calibri" w:eastAsia="Calibri" w:hAnsi="Calibri"/>
          <w:color w:val="1E293B"/>
          <w:sz w:val="20"/>
          <w:szCs w:val="20"/>
        </w:rPr>
        <w:t xml:space="preserve">Open the step from the review queue on the dashboard, or from the household's Obligations tab.</w:t>
      </w:r>
    </w:p>
    <w:p>
      <w:pPr>
        <w:spacing w:after="36"/>
        <w:ind w:left="340" w:hanging="250"/>
      </w:pPr>
      <w:r>
        <w:rPr>
          <w:rFonts w:ascii="Calibri" w:cs="Calibri" w:eastAsia="Calibri" w:hAnsi="Calibri"/>
          <w:b/>
          <w:bCs/>
          <w:color w:val="CEB684"/>
          <w:sz w:val="19"/>
          <w:szCs w:val="19"/>
        </w:rPr>
        <w:t xml:space="preserve">2.  </w:t>
      </w:r>
      <w:r>
        <w:rPr>
          <w:rFonts w:ascii="Calibri" w:cs="Calibri" w:eastAsia="Calibri" w:hAnsi="Calibri"/>
          <w:color w:val="1E293B"/>
          <w:sz w:val="20"/>
          <w:szCs w:val="20"/>
        </w:rPr>
        <w:t xml:space="preserve">Press Prepare draft. The platform assembles the item from the obligation, the funding accounts and the text of the source document on file — a bank transfer request, a trustee instruction, a Crummey notice and an accountant's note are each written differently.</w:t>
      </w:r>
    </w:p>
    <w:p>
      <w:pPr>
        <w:spacing w:after="36"/>
        <w:ind w:left="340" w:hanging="250"/>
      </w:pPr>
      <w:r>
        <w:rPr>
          <w:rFonts w:ascii="Calibri" w:cs="Calibri" w:eastAsia="Calibri" w:hAnsi="Calibri"/>
          <w:b/>
          <w:bCs/>
          <w:color w:val="CEB684"/>
          <w:sz w:val="19"/>
          <w:szCs w:val="19"/>
        </w:rPr>
        <w:t xml:space="preserve">3.  </w:t>
      </w:r>
      <w:r>
        <w:rPr>
          <w:rFonts w:ascii="Calibri" w:cs="Calibri" w:eastAsia="Calibri" w:hAnsi="Calibri"/>
          <w:color w:val="1E293B"/>
          <w:sz w:val="20"/>
          <w:szCs w:val="20"/>
        </w:rPr>
        <w:t xml:space="preserve">Read it. Square-bracketed placeholders mark anything the record could not supply; complete those before approving.</w:t>
      </w:r>
    </w:p>
    <w:p>
      <w:pPr>
        <w:spacing w:after="36"/>
        <w:ind w:left="340" w:hanging="250"/>
      </w:pPr>
      <w:r>
        <w:rPr>
          <w:rFonts w:ascii="Calibri" w:cs="Calibri" w:eastAsia="Calibri" w:hAnsi="Calibri"/>
          <w:b/>
          <w:bCs/>
          <w:color w:val="CEB684"/>
          <w:sz w:val="19"/>
          <w:szCs w:val="19"/>
        </w:rPr>
        <w:t xml:space="preserve">4.  </w:t>
      </w:r>
      <w:r>
        <w:rPr>
          <w:rFonts w:ascii="Calibri" w:cs="Calibri" w:eastAsia="Calibri" w:hAnsi="Calibri"/>
          <w:color w:val="1E293B"/>
          <w:sz w:val="20"/>
          <w:szCs w:val="20"/>
        </w:rPr>
        <w:t xml:space="preserve">Check the recipient and the copy. The household's primary contact is copied automatically, unless they are the addressee.</w:t>
      </w:r>
    </w:p>
    <w:p>
      <w:pPr>
        <w:spacing w:after="36"/>
        <w:ind w:left="340" w:hanging="250"/>
      </w:pPr>
      <w:r>
        <w:rPr>
          <w:rFonts w:ascii="Calibri" w:cs="Calibri" w:eastAsia="Calibri" w:hAnsi="Calibri"/>
          <w:b/>
          <w:bCs/>
          <w:color w:val="CEB684"/>
          <w:sz w:val="19"/>
          <w:szCs w:val="19"/>
        </w:rPr>
        <w:t xml:space="preserve">5.  </w:t>
      </w:r>
      <w:r>
        <w:rPr>
          <w:rFonts w:ascii="Calibri" w:cs="Calibri" w:eastAsia="Calibri" w:hAnsi="Calibri"/>
          <w:color w:val="1E293B"/>
          <w:sz w:val="20"/>
          <w:szCs w:val="20"/>
        </w:rPr>
        <w:t xml:space="preserve">Approve &amp; send delivers it, from the responsible Expert's address on the firm's verified domain, with the supporting document attached. Approve, don't send records the approval and leaves it in the queue.</w:t>
      </w:r>
    </w:p>
    <w:p>
      <w:pPr>
        <w:keepNext/>
        <w:spacing w:after="30" w:before="85"/>
      </w:pPr>
      <w:r>
        <w:rPr>
          <w:rFonts w:ascii="Calibri" w:cs="Calibri" w:eastAsia="Calibri" w:hAnsi="Calibri"/>
          <w:b/>
          <w:bCs/>
          <w:caps/>
          <w:color w:val="5A6E84"/>
          <w:sz w:val="15"/>
          <w:szCs w:val="15"/>
        </w:rPr>
        <w:t xml:space="preserve">Before you move on</w:t>
      </w:r>
    </w:p>
    <w:p>
      <w:pPr>
        <w:pStyle w:val="ListParagraph"/>
        <w:numPr>
          <w:ilvl w:val="0"/>
          <w:numId w:val="2"/>
        </w:numPr>
        <w:spacing w:after="36"/>
      </w:pPr>
      <w:r>
        <w:rPr>
          <w:rFonts w:ascii="Calibri" w:cs="Calibri" w:eastAsia="Calibri" w:hAnsi="Calibri"/>
          <w:color w:val="1E293B"/>
          <w:sz w:val="20"/>
          <w:szCs w:val="20"/>
        </w:rPr>
        <w:t xml:space="preserve">No square brackets left in the body.</w:t>
      </w:r>
    </w:p>
    <w:p>
      <w:pPr>
        <w:pStyle w:val="ListParagraph"/>
        <w:numPr>
          <w:ilvl w:val="0"/>
          <w:numId w:val="2"/>
        </w:numPr>
        <w:spacing w:after="36"/>
      </w:pPr>
      <w:r>
        <w:rPr>
          <w:rFonts w:ascii="Calibri" w:cs="Calibri" w:eastAsia="Calibri" w:hAnsi="Calibri"/>
          <w:color w:val="1E293B"/>
          <w:sz w:val="20"/>
          <w:szCs w:val="20"/>
        </w:rPr>
        <w:t xml:space="preserve">The To line is a real email address. Descriptions like 'Wire Operations' will be refused.</w:t>
      </w:r>
    </w:p>
    <w:p>
      <w:pPr>
        <w:pStyle w:val="ListParagraph"/>
        <w:numPr>
          <w:ilvl w:val="0"/>
          <w:numId w:val="2"/>
        </w:numPr>
        <w:spacing w:after="36"/>
      </w:pPr>
      <w:r>
        <w:rPr>
          <w:rFonts w:ascii="Calibri" w:cs="Calibri" w:eastAsia="Calibri" w:hAnsi="Calibri"/>
          <w:color w:val="1E293B"/>
          <w:sz w:val="20"/>
          <w:szCs w:val="20"/>
        </w:rPr>
        <w:t xml:space="preserve">The figures in the draft match the invoice, not the model's recollection of it.</w:t>
      </w:r>
    </w:p>
    <w:p>
      <w:pPr>
        <w:keepNext/>
        <w:spacing w:after="30" w:before="85"/>
      </w:pPr>
      <w:r>
        <w:rPr>
          <w:rFonts w:ascii="Calibri" w:cs="Calibri" w:eastAsia="Calibri" w:hAnsi="Calibri"/>
          <w:b/>
          <w:bCs/>
          <w:caps/>
          <w:color w:val="5A6E84"/>
          <w:sz w:val="15"/>
          <w:szCs w:val="15"/>
        </w:rPr>
        <w:t xml:space="preserve">Traps</w:t>
      </w:r>
    </w:p>
    <w:p>
      <w:pPr>
        <w:pBdr>
          <w:left w:val="single" w:color="E4CE9A" w:sz="18"/>
        </w:pBdr>
        <w:shd w:fill="FBF3E3" w:val="clear"/>
        <w:spacing w:after="70" w:before="60"/>
        <w:ind w:left="200" w:right="120"/>
      </w:pPr>
      <w:r>
        <w:rPr>
          <w:rFonts w:ascii="Calibri" w:cs="Calibri" w:eastAsia="Calibri" w:hAnsi="Calibri"/>
          <w:i/>
          <w:iCs/>
          <w:color w:val="7A5A19"/>
          <w:sz w:val="20"/>
          <w:szCs w:val="20"/>
        </w:rPr>
        <w:t xml:space="preserve">Recipients are checked against the addresses on file for that household. An unrecognised address stops the send and shows you the exact address, because draft recipients are drawn partly from uploaded documents. Look at it properly before confirming — that confirmation is recorded against the step.</w:t>
      </w:r>
    </w:p>
    <w:p>
      <w:pPr>
        <w:pBdr>
          <w:left w:val="single" w:color="E4CE9A" w:sz="18"/>
        </w:pBdr>
        <w:shd w:fill="FBF3E3" w:val="clear"/>
        <w:spacing w:after="70" w:before="60"/>
        <w:ind w:left="200" w:right="120"/>
      </w:pPr>
      <w:r>
        <w:rPr>
          <w:rFonts w:ascii="Calibri" w:cs="Calibri" w:eastAsia="Calibri" w:hAnsi="Calibri"/>
          <w:i/>
          <w:iCs/>
          <w:color w:val="7A5A19"/>
          <w:sz w:val="20"/>
          <w:szCs w:val="20"/>
        </w:rPr>
        <w:t xml:space="preserve">Approving is not sending. A step that is approved and unsent stays in the review queue reading 'Approved — not sent'.</w:t>
      </w:r>
    </w:p>
    <w:p>
      <w:pPr>
        <w:pBdr>
          <w:left w:val="single" w:color="E4CE9A" w:sz="18"/>
        </w:pBdr>
        <w:shd w:fill="FBF3E3" w:val="clear"/>
        <w:spacing w:after="70" w:before="60"/>
        <w:ind w:left="200" w:right="120"/>
      </w:pPr>
      <w:r>
        <w:rPr>
          <w:rFonts w:ascii="Calibri" w:cs="Calibri" w:eastAsia="Calibri" w:hAnsi="Calibri"/>
          <w:i/>
          <w:iCs/>
          <w:color w:val="7A5A19"/>
          <w:sz w:val="20"/>
          <w:szCs w:val="20"/>
        </w:rPr>
        <w:t xml:space="preserve">A send that the provider rejects records the reason and leaves the step approved but unsent. It will not look successful.</w:t>
      </w:r>
    </w:p>
    <w:p>
      <w:pPr>
        <w:pBdr>
          <w:left w:val="single" w:color="E4CE9A" w:sz="18"/>
        </w:pBdr>
        <w:shd w:fill="FBF3E3" w:val="clear"/>
        <w:spacing w:after="70" w:before="60"/>
        <w:ind w:left="200" w:right="120"/>
      </w:pPr>
      <w:r>
        <w:rPr>
          <w:rFonts w:ascii="Calibri" w:cs="Calibri" w:eastAsia="Calibri" w:hAnsi="Calibri"/>
          <w:i/>
          <w:iCs/>
          <w:color w:val="7A5A19"/>
          <w:sz w:val="20"/>
          <w:szCs w:val="20"/>
        </w:rPr>
        <w:t xml:space="preserve">Once a message has a delivery reference it cannot be sent again. A double click will not produce a second bank instruction.</w:t>
      </w:r>
    </w:p>
    <w:p>
      <w:pPr>
        <w:pBdr>
          <w:left w:val="single" w:color="E4CE9A" w:sz="18"/>
        </w:pBdr>
        <w:shd w:fill="FBF3E3" w:val="clear"/>
        <w:spacing w:after="70" w:before="60"/>
        <w:ind w:left="200" w:right="120"/>
      </w:pPr>
      <w:r>
        <w:rPr>
          <w:rFonts w:ascii="Calibri" w:cs="Calibri" w:eastAsia="Calibri" w:hAnsi="Calibri"/>
          <w:i/>
          <w:iCs/>
          <w:color w:val="7A5A19"/>
          <w:sz w:val="20"/>
          <w:szCs w:val="20"/>
        </w:rPr>
        <w:t xml:space="preserve">The platform prepares payment instructions. It never moves money. Say this out loud to any client or compliance officer who asks.</w:t>
      </w:r>
    </w:p>
    <w:p>
      <w:pPr>
        <w:keepNext/>
        <w:pBdr>
          <w:bottom w:val="single" w:color="CEB684" w:sz="8"/>
        </w:pBdr>
        <w:spacing w:after="70" w:before="190"/>
      </w:pPr>
      <w:r>
        <w:rPr>
          <w:rFonts w:ascii="Georgia" w:cs="Georgia" w:eastAsia="Georgia" w:hAnsi="Georgia"/>
          <w:b/>
          <w:bCs/>
          <w:color w:val="092B49"/>
          <w:sz w:val="25"/>
          <w:szCs w:val="25"/>
        </w:rPr>
        <w:t xml:space="preserve">10.  The assistant</w:t>
      </w:r>
    </w:p>
    <w:p>
      <w:pPr>
        <w:spacing w:after="80" w:before="0"/>
      </w:pPr>
      <w:r>
        <w:rPr>
          <w:rFonts w:ascii="Calibri" w:cs="Calibri" w:eastAsia="Calibri" w:hAnsi="Calibri"/>
          <w:i/>
          <w:iCs/>
          <w:color w:val="5A6E84"/>
          <w:sz w:val="19"/>
          <w:szCs w:val="19"/>
        </w:rPr>
        <w:t xml:space="preserve">Answers from one household's own records, and cites the document it used.</w:t>
      </w:r>
    </w:p>
    <w:p>
      <w:pPr>
        <w:keepNext/>
        <w:spacing w:after="30" w:before="85"/>
      </w:pPr>
      <w:r>
        <w:rPr>
          <w:rFonts w:ascii="Calibri" w:cs="Calibri" w:eastAsia="Calibri" w:hAnsi="Calibri"/>
          <w:b/>
          <w:bCs/>
          <w:caps/>
          <w:color w:val="5A6E84"/>
          <w:sz w:val="15"/>
          <w:szCs w:val="15"/>
        </w:rPr>
        <w:t xml:space="preserve">Procedure</w:t>
      </w:r>
    </w:p>
    <w:p>
      <w:pPr>
        <w:spacing w:after="36"/>
        <w:ind w:left="340" w:hanging="250"/>
      </w:pPr>
      <w:r>
        <w:rPr>
          <w:rFonts w:ascii="Calibri" w:cs="Calibri" w:eastAsia="Calibri" w:hAnsi="Calibri"/>
          <w:b/>
          <w:bCs/>
          <w:color w:val="CEB684"/>
          <w:sz w:val="19"/>
          <w:szCs w:val="19"/>
        </w:rPr>
        <w:t xml:space="preserve">1.  </w:t>
      </w:r>
      <w:r>
        <w:rPr>
          <w:rFonts w:ascii="Calibri" w:cs="Calibri" w:eastAsia="Calibri" w:hAnsi="Calibri"/>
          <w:color w:val="1E293B"/>
          <w:sz w:val="20"/>
          <w:szCs w:val="20"/>
        </w:rPr>
        <w:t xml:space="preserve">Open it from the floating button on any screen. On a firm-wide screen it asks which household first, because it will not answer across relationships.</w:t>
      </w:r>
    </w:p>
    <w:p>
      <w:pPr>
        <w:spacing w:after="36"/>
        <w:ind w:left="340" w:hanging="250"/>
      </w:pPr>
      <w:r>
        <w:rPr>
          <w:rFonts w:ascii="Calibri" w:cs="Calibri" w:eastAsia="Calibri" w:hAnsi="Calibri"/>
          <w:b/>
          <w:bCs/>
          <w:color w:val="CEB684"/>
          <w:sz w:val="19"/>
          <w:szCs w:val="19"/>
        </w:rPr>
        <w:t xml:space="preserve">2.  </w:t>
      </w:r>
      <w:r>
        <w:rPr>
          <w:rFonts w:ascii="Calibri" w:cs="Calibri" w:eastAsia="Calibri" w:hAnsi="Calibri"/>
          <w:color w:val="1E293B"/>
          <w:sz w:val="20"/>
          <w:szCs w:val="20"/>
        </w:rPr>
        <w:t xml:space="preserve">Ask questions the records can actually answer: what is uninsured, when does this policy lapse, what did we pay last year.</w:t>
      </w:r>
    </w:p>
    <w:p>
      <w:pPr>
        <w:spacing w:after="36"/>
        <w:ind w:left="340" w:hanging="250"/>
      </w:pPr>
      <w:r>
        <w:rPr>
          <w:rFonts w:ascii="Calibri" w:cs="Calibri" w:eastAsia="Calibri" w:hAnsi="Calibri"/>
          <w:b/>
          <w:bCs/>
          <w:color w:val="CEB684"/>
          <w:sz w:val="19"/>
          <w:szCs w:val="19"/>
        </w:rPr>
        <w:t xml:space="preserve">3.  </w:t>
      </w:r>
      <w:r>
        <w:rPr>
          <w:rFonts w:ascii="Calibri" w:cs="Calibri" w:eastAsia="Calibri" w:hAnsi="Calibri"/>
          <w:color w:val="1E293B"/>
          <w:sz w:val="20"/>
          <w:szCs w:val="20"/>
        </w:rPr>
        <w:t xml:space="preserve">It reads document contents, not just fields, so an endorsement or a dec page is fair game.</w:t>
      </w:r>
    </w:p>
    <w:p>
      <w:pPr>
        <w:keepNext/>
        <w:spacing w:after="30" w:before="85"/>
      </w:pPr>
      <w:r>
        <w:rPr>
          <w:rFonts w:ascii="Calibri" w:cs="Calibri" w:eastAsia="Calibri" w:hAnsi="Calibri"/>
          <w:b/>
          <w:bCs/>
          <w:caps/>
          <w:color w:val="5A6E84"/>
          <w:sz w:val="15"/>
          <w:szCs w:val="15"/>
        </w:rPr>
        <w:t xml:space="preserve">Traps</w:t>
      </w:r>
    </w:p>
    <w:p>
      <w:pPr>
        <w:pBdr>
          <w:left w:val="single" w:color="E4CE9A" w:sz="18"/>
        </w:pBdr>
        <w:shd w:fill="FBF3E3" w:val="clear"/>
        <w:spacing w:after="70" w:before="60"/>
        <w:ind w:left="200" w:right="120"/>
      </w:pPr>
      <w:r>
        <w:rPr>
          <w:rFonts w:ascii="Calibri" w:cs="Calibri" w:eastAsia="Calibri" w:hAnsi="Calibri"/>
          <w:i/>
          <w:iCs/>
          <w:color w:val="7A5A19"/>
          <w:sz w:val="20"/>
          <w:szCs w:val="20"/>
        </w:rPr>
        <w:t xml:space="preserve">It is scoped to one household and cannot be persuaded otherwise. That is a feature, not a limitation to work around.</w:t>
      </w:r>
    </w:p>
    <w:p>
      <w:pPr>
        <w:pBdr>
          <w:left w:val="single" w:color="E4CE9A" w:sz="18"/>
        </w:pBdr>
        <w:shd w:fill="FBF3E3" w:val="clear"/>
        <w:spacing w:after="70" w:before="60"/>
        <w:ind w:left="200" w:right="120"/>
      </w:pPr>
      <w:r>
        <w:rPr>
          <w:rFonts w:ascii="Calibri" w:cs="Calibri" w:eastAsia="Calibri" w:hAnsi="Calibri"/>
          <w:i/>
          <w:iCs/>
          <w:color w:val="7A5A19"/>
          <w:sz w:val="20"/>
          <w:szCs w:val="20"/>
        </w:rPr>
        <w:t xml:space="preserve">It treats document text as data, never as instruction. If a document contains something that looks like a command, it will not follow it.</w:t>
      </w:r>
    </w:p>
    <w:p>
      <w:pPr>
        <w:keepNext/>
        <w:pBdr>
          <w:bottom w:val="single" w:color="CEB684" w:sz="8"/>
        </w:pBdr>
        <w:spacing w:after="70" w:before="190"/>
      </w:pPr>
      <w:r>
        <w:rPr>
          <w:rFonts w:ascii="Georgia" w:cs="Georgia" w:eastAsia="Georgia" w:hAnsi="Georgia"/>
          <w:b/>
          <w:bCs/>
          <w:color w:val="092B49"/>
          <w:sz w:val="25"/>
          <w:szCs w:val="25"/>
        </w:rPr>
        <w:t xml:space="preserve">11.  Scheduled reports and concierge research</w:t>
      </w:r>
    </w:p>
    <w:p>
      <w:pPr>
        <w:spacing w:after="80" w:before="0"/>
      </w:pPr>
      <w:r>
        <w:rPr>
          <w:rFonts w:ascii="Calibri" w:cs="Calibri" w:eastAsia="Calibri" w:hAnsi="Calibri"/>
          <w:i/>
          <w:iCs/>
          <w:color w:val="5A6E84"/>
          <w:sz w:val="19"/>
          <w:szCs w:val="19"/>
        </w:rPr>
        <w:t xml:space="preserve">Recurring intelligence delivered on a cadence, as a branded PDF, without anyone remembering to run it.</w:t>
      </w:r>
    </w:p>
    <w:p>
      <w:pPr>
        <w:keepNext/>
        <w:spacing w:after="30" w:before="85"/>
      </w:pPr>
      <w:r>
        <w:rPr>
          <w:rFonts w:ascii="Calibri" w:cs="Calibri" w:eastAsia="Calibri" w:hAnsi="Calibri"/>
          <w:b/>
          <w:bCs/>
          <w:caps/>
          <w:color w:val="5A6E84"/>
          <w:sz w:val="15"/>
          <w:szCs w:val="15"/>
        </w:rPr>
        <w:t xml:space="preserve">Procedure</w:t>
      </w:r>
    </w:p>
    <w:p>
      <w:pPr>
        <w:spacing w:after="36"/>
        <w:ind w:left="340" w:hanging="250"/>
      </w:pPr>
      <w:r>
        <w:rPr>
          <w:rFonts w:ascii="Calibri" w:cs="Calibri" w:eastAsia="Calibri" w:hAnsi="Calibri"/>
          <w:b/>
          <w:bCs/>
          <w:color w:val="CEB684"/>
          <w:sz w:val="19"/>
          <w:szCs w:val="19"/>
        </w:rPr>
        <w:t xml:space="preserve">1.  </w:t>
      </w:r>
      <w:r>
        <w:rPr>
          <w:rFonts w:ascii="Calibri" w:cs="Calibri" w:eastAsia="Calibri" w:hAnsi="Calibri"/>
          <w:color w:val="1E293B"/>
          <w:sz w:val="20"/>
          <w:szCs w:val="20"/>
        </w:rPr>
        <w:t xml:space="preserve">Create the prompt in Resources, choose its cadence and scope it to a household or the whole book.</w:t>
      </w:r>
    </w:p>
    <w:p>
      <w:pPr>
        <w:spacing w:after="36"/>
        <w:ind w:left="340" w:hanging="250"/>
      </w:pPr>
      <w:r>
        <w:rPr>
          <w:rFonts w:ascii="Calibri" w:cs="Calibri" w:eastAsia="Calibri" w:hAnsi="Calibri"/>
          <w:b/>
          <w:bCs/>
          <w:color w:val="CEB684"/>
          <w:sz w:val="19"/>
          <w:szCs w:val="19"/>
        </w:rPr>
        <w:t xml:space="preserve">2.  </w:t>
      </w:r>
      <w:r>
        <w:rPr>
          <w:rFonts w:ascii="Calibri" w:cs="Calibri" w:eastAsia="Calibri" w:hAnsi="Calibri"/>
          <w:color w:val="1E293B"/>
          <w:sz w:val="20"/>
          <w:szCs w:val="20"/>
        </w:rPr>
        <w:t xml:space="preserve">Use Run Now to see exactly what a recipient will get before letting a schedule loose.</w:t>
      </w:r>
    </w:p>
    <w:p>
      <w:pPr>
        <w:spacing w:after="36"/>
        <w:ind w:left="340" w:hanging="250"/>
      </w:pPr>
      <w:r>
        <w:rPr>
          <w:rFonts w:ascii="Calibri" w:cs="Calibri" w:eastAsia="Calibri" w:hAnsi="Calibri"/>
          <w:b/>
          <w:bCs/>
          <w:color w:val="CEB684"/>
          <w:sz w:val="19"/>
          <w:szCs w:val="19"/>
        </w:rPr>
        <w:t xml:space="preserve">3.  </w:t>
      </w:r>
      <w:r>
        <w:rPr>
          <w:rFonts w:ascii="Calibri" w:cs="Calibri" w:eastAsia="Calibri" w:hAnsi="Calibri"/>
          <w:color w:val="1E293B"/>
          <w:sz w:val="20"/>
          <w:szCs w:val="20"/>
        </w:rPr>
        <w:t xml:space="preserve">Concierge research searches the live web for something a client asked the firm to watch, and cites its sources.</w:t>
      </w:r>
    </w:p>
    <w:p>
      <w:pPr>
        <w:spacing w:after="36"/>
        <w:ind w:left="340" w:hanging="250"/>
      </w:pPr>
      <w:r>
        <w:rPr>
          <w:rFonts w:ascii="Calibri" w:cs="Calibri" w:eastAsia="Calibri" w:hAnsi="Calibri"/>
          <w:b/>
          <w:bCs/>
          <w:color w:val="CEB684"/>
          <w:sz w:val="19"/>
          <w:szCs w:val="19"/>
        </w:rPr>
        <w:t xml:space="preserve">4.  </w:t>
      </w:r>
      <w:r>
        <w:rPr>
          <w:rFonts w:ascii="Calibri" w:cs="Calibri" w:eastAsia="Calibri" w:hAnsi="Calibri"/>
          <w:color w:val="1E293B"/>
          <w:sz w:val="20"/>
          <w:szCs w:val="20"/>
        </w:rPr>
        <w:t xml:space="preserve">Long jobs run in the background, so a multi-minute research run does not time out.</w:t>
      </w:r>
    </w:p>
    <w:p>
      <w:pPr>
        <w:keepNext/>
        <w:spacing w:after="30" w:before="85"/>
      </w:pPr>
      <w:r>
        <w:rPr>
          <w:rFonts w:ascii="Calibri" w:cs="Calibri" w:eastAsia="Calibri" w:hAnsi="Calibri"/>
          <w:b/>
          <w:bCs/>
          <w:caps/>
          <w:color w:val="5A6E84"/>
          <w:sz w:val="15"/>
          <w:szCs w:val="15"/>
        </w:rPr>
        <w:t xml:space="preserve">Traps</w:t>
      </w:r>
    </w:p>
    <w:p>
      <w:pPr>
        <w:pBdr>
          <w:left w:val="single" w:color="E4CE9A" w:sz="18"/>
        </w:pBdr>
        <w:shd w:fill="FBF3E3" w:val="clear"/>
        <w:spacing w:after="70" w:before="60"/>
        <w:ind w:left="200" w:right="120"/>
      </w:pPr>
      <w:r>
        <w:rPr>
          <w:rFonts w:ascii="Calibri" w:cs="Calibri" w:eastAsia="Calibri" w:hAnsi="Calibri"/>
          <w:i/>
          <w:iCs/>
          <w:color w:val="7A5A19"/>
          <w:sz w:val="20"/>
          <w:szCs w:val="20"/>
        </w:rPr>
        <w:t xml:space="preserve">Whether a Partner may run scheduled reports is a per-person permission, off by default.</w:t>
      </w:r>
    </w:p>
    <w:p>
      <w:pPr>
        <w:pBdr>
          <w:left w:val="single" w:color="E4CE9A" w:sz="18"/>
        </w:pBdr>
        <w:shd w:fill="FBF3E3" w:val="clear"/>
        <w:spacing w:after="70" w:before="60"/>
        <w:ind w:left="200" w:right="120"/>
      </w:pPr>
      <w:r>
        <w:rPr>
          <w:rFonts w:ascii="Calibri" w:cs="Calibri" w:eastAsia="Calibri" w:hAnsi="Calibri"/>
          <w:i/>
          <w:iCs/>
          <w:color w:val="7A5A19"/>
          <w:sz w:val="20"/>
          <w:szCs w:val="20"/>
        </w:rPr>
        <w:t xml:space="preserve">A failed run records the reason. Check it rather than assuming the schedule is fine.</w:t>
      </w:r>
    </w:p>
    <w:p>
      <w:pPr>
        <w:keepNext/>
        <w:pBdr>
          <w:bottom w:val="single" w:color="CEB684" w:sz="8"/>
        </w:pBdr>
        <w:spacing w:after="70" w:before="190"/>
      </w:pPr>
      <w:r>
        <w:rPr>
          <w:rFonts w:ascii="Georgia" w:cs="Georgia" w:eastAsia="Georgia" w:hAnsi="Georgia"/>
          <w:b/>
          <w:bCs/>
          <w:color w:val="092B49"/>
          <w:sz w:val="25"/>
          <w:szCs w:val="25"/>
        </w:rPr>
        <w:t xml:space="preserve">12.  Tasks and deadlines</w:t>
      </w:r>
    </w:p>
    <w:p>
      <w:pPr>
        <w:spacing w:after="80" w:before="0"/>
      </w:pPr>
      <w:r>
        <w:rPr>
          <w:rFonts w:ascii="Calibri" w:cs="Calibri" w:eastAsia="Calibri" w:hAnsi="Calibri"/>
          <w:i/>
          <w:iCs/>
          <w:color w:val="5A6E84"/>
          <w:sz w:val="19"/>
          <w:szCs w:val="19"/>
        </w:rPr>
        <w:t xml:space="preserve">The things that are not recurring obligations but still cannot be forgotten.</w:t>
      </w:r>
    </w:p>
    <w:p>
      <w:pPr>
        <w:keepNext/>
        <w:spacing w:after="30" w:before="85"/>
      </w:pPr>
      <w:r>
        <w:rPr>
          <w:rFonts w:ascii="Calibri" w:cs="Calibri" w:eastAsia="Calibri" w:hAnsi="Calibri"/>
          <w:b/>
          <w:bCs/>
          <w:caps/>
          <w:color w:val="5A6E84"/>
          <w:sz w:val="15"/>
          <w:szCs w:val="15"/>
        </w:rPr>
        <w:t xml:space="preserve">Procedure</w:t>
      </w:r>
    </w:p>
    <w:p>
      <w:pPr>
        <w:spacing w:after="36"/>
        <w:ind w:left="340" w:hanging="250"/>
      </w:pPr>
      <w:r>
        <w:rPr>
          <w:rFonts w:ascii="Calibri" w:cs="Calibri" w:eastAsia="Calibri" w:hAnsi="Calibri"/>
          <w:b/>
          <w:bCs/>
          <w:color w:val="CEB684"/>
          <w:sz w:val="19"/>
          <w:szCs w:val="19"/>
        </w:rPr>
        <w:t xml:space="preserve">1.  </w:t>
      </w:r>
      <w:r>
        <w:rPr>
          <w:rFonts w:ascii="Calibri" w:cs="Calibri" w:eastAsia="Calibri" w:hAnsi="Calibri"/>
          <w:color w:val="1E293B"/>
          <w:sz w:val="20"/>
          <w:szCs w:val="20"/>
        </w:rPr>
        <w:t xml:space="preserve">Record the task against the household with its due date and owner.</w:t>
      </w:r>
    </w:p>
    <w:p>
      <w:pPr>
        <w:spacing w:after="36"/>
        <w:ind w:left="340" w:hanging="250"/>
      </w:pPr>
      <w:r>
        <w:rPr>
          <w:rFonts w:ascii="Calibri" w:cs="Calibri" w:eastAsia="Calibri" w:hAnsi="Calibri"/>
          <w:b/>
          <w:bCs/>
          <w:color w:val="CEB684"/>
          <w:sz w:val="19"/>
          <w:szCs w:val="19"/>
        </w:rPr>
        <w:t xml:space="preserve">2.  </w:t>
      </w:r>
      <w:r>
        <w:rPr>
          <w:rFonts w:ascii="Calibri" w:cs="Calibri" w:eastAsia="Calibri" w:hAnsi="Calibri"/>
          <w:color w:val="1E293B"/>
          <w:sz w:val="20"/>
          <w:szCs w:val="20"/>
        </w:rPr>
        <w:t xml:space="preserve">Deadlines surface on the dashboard as they approach, and reminders go out on schedule.</w:t>
      </w:r>
    </w:p>
    <w:p>
      <w:pPr>
        <w:keepNext/>
        <w:pBdr>
          <w:bottom w:val="single" w:color="CEB684" w:sz="8"/>
        </w:pBdr>
        <w:spacing w:after="70" w:before="190"/>
      </w:pPr>
      <w:r>
        <w:rPr>
          <w:rFonts w:ascii="Georgia" w:cs="Georgia" w:eastAsia="Georgia" w:hAnsi="Georgia"/>
          <w:b/>
          <w:bCs/>
          <w:color w:val="092B49"/>
          <w:sz w:val="25"/>
          <w:szCs w:val="25"/>
        </w:rPr>
        <w:t xml:space="preserve">13.  What the household sees</w:t>
      </w:r>
    </w:p>
    <w:p>
      <w:pPr>
        <w:spacing w:after="80" w:before="0"/>
      </w:pPr>
      <w:r>
        <w:rPr>
          <w:rFonts w:ascii="Calibri" w:cs="Calibri" w:eastAsia="Calibri" w:hAnsi="Calibri"/>
          <w:i/>
          <w:iCs/>
          <w:color w:val="5A6E84"/>
          <w:sz w:val="19"/>
          <w:szCs w:val="19"/>
        </w:rPr>
        <w:t xml:space="preserve">The client portal carries your brand and shows a read-only view of what the firm holds.</w:t>
      </w:r>
    </w:p>
    <w:p>
      <w:pPr>
        <w:keepNext/>
        <w:spacing w:after="30" w:before="85"/>
      </w:pPr>
      <w:r>
        <w:rPr>
          <w:rFonts w:ascii="Calibri" w:cs="Calibri" w:eastAsia="Calibri" w:hAnsi="Calibri"/>
          <w:b/>
          <w:bCs/>
          <w:caps/>
          <w:color w:val="5A6E84"/>
          <w:sz w:val="15"/>
          <w:szCs w:val="15"/>
        </w:rPr>
        <w:t xml:space="preserve">Procedure</w:t>
      </w:r>
    </w:p>
    <w:p>
      <w:pPr>
        <w:spacing w:after="36"/>
        <w:ind w:left="340" w:hanging="250"/>
      </w:pPr>
      <w:r>
        <w:rPr>
          <w:rFonts w:ascii="Calibri" w:cs="Calibri" w:eastAsia="Calibri" w:hAnsi="Calibri"/>
          <w:b/>
          <w:bCs/>
          <w:color w:val="CEB684"/>
          <w:sz w:val="19"/>
          <w:szCs w:val="19"/>
        </w:rPr>
        <w:t xml:space="preserve">1.  </w:t>
      </w:r>
      <w:r>
        <w:rPr>
          <w:rFonts w:ascii="Calibri" w:cs="Calibri" w:eastAsia="Calibri" w:hAnsi="Calibri"/>
          <w:color w:val="1E293B"/>
          <w:sz w:val="20"/>
          <w:szCs w:val="20"/>
        </w:rPr>
        <w:t xml:space="preserve">Clients see net worth, properties, accounts, valuables and documents for their own household, read-only.</w:t>
      </w:r>
    </w:p>
    <w:p>
      <w:pPr>
        <w:spacing w:after="36"/>
        <w:ind w:left="340" w:hanging="250"/>
      </w:pPr>
      <w:r>
        <w:rPr>
          <w:rFonts w:ascii="Calibri" w:cs="Calibri" w:eastAsia="Calibri" w:hAnsi="Calibri"/>
          <w:b/>
          <w:bCs/>
          <w:color w:val="CEB684"/>
          <w:sz w:val="19"/>
          <w:szCs w:val="19"/>
        </w:rPr>
        <w:t xml:space="preserve">2.  </w:t>
      </w:r>
      <w:r>
        <w:rPr>
          <w:rFonts w:ascii="Calibri" w:cs="Calibri" w:eastAsia="Calibri" w:hAnsi="Calibri"/>
          <w:color w:val="1E293B"/>
          <w:sz w:val="20"/>
          <w:szCs w:val="20"/>
        </w:rPr>
        <w:t xml:space="preserve">They can email their own adviser from inside the portal; the primary adviser is always copied. They cannot email other advisers at the firm.</w:t>
      </w:r>
    </w:p>
    <w:p>
      <w:pPr>
        <w:spacing w:after="36"/>
        <w:ind w:left="340" w:hanging="250"/>
      </w:pPr>
      <w:r>
        <w:rPr>
          <w:rFonts w:ascii="Calibri" w:cs="Calibri" w:eastAsia="Calibri" w:hAnsi="Calibri"/>
          <w:b/>
          <w:bCs/>
          <w:color w:val="CEB684"/>
          <w:sz w:val="19"/>
          <w:szCs w:val="19"/>
        </w:rPr>
        <w:t xml:space="preserve">3.  </w:t>
      </w:r>
      <w:r>
        <w:rPr>
          <w:rFonts w:ascii="Calibri" w:cs="Calibri" w:eastAsia="Calibri" w:hAnsi="Calibri"/>
          <w:color w:val="1E293B"/>
          <w:sz w:val="20"/>
          <w:szCs w:val="20"/>
        </w:rPr>
        <w:t xml:space="preserve">Bills the firm paid on their behalf are marked paid, with who paid and when.</w:t>
      </w:r>
    </w:p>
    <w:p>
      <w:pPr>
        <w:spacing w:after="36"/>
        <w:ind w:left="340" w:hanging="250"/>
      </w:pPr>
      <w:r>
        <w:rPr>
          <w:rFonts w:ascii="Calibri" w:cs="Calibri" w:eastAsia="Calibri" w:hAnsi="Calibri"/>
          <w:b/>
          <w:bCs/>
          <w:color w:val="CEB684"/>
          <w:sz w:val="19"/>
          <w:szCs w:val="19"/>
        </w:rPr>
        <w:t xml:space="preserve">4.  </w:t>
      </w:r>
      <w:r>
        <w:rPr>
          <w:rFonts w:ascii="Calibri" w:cs="Calibri" w:eastAsia="Calibri" w:hAnsi="Calibri"/>
          <w:color w:val="1E293B"/>
          <w:sz w:val="20"/>
          <w:szCs w:val="20"/>
        </w:rPr>
        <w:t xml:space="preserve">It is mobile responsive throughout — assume a client is looking at it on a phone.</w:t>
      </w:r>
    </w:p>
    <w:p>
      <w:pPr>
        <w:keepNext/>
        <w:pBdr>
          <w:bottom w:val="single" w:color="CEB684" w:sz="8"/>
        </w:pBdr>
        <w:spacing w:after="70" w:before="190"/>
      </w:pPr>
      <w:r>
        <w:rPr>
          <w:rFonts w:ascii="Georgia" w:cs="Georgia" w:eastAsia="Georgia" w:hAnsi="Georgia"/>
          <w:b/>
          <w:bCs/>
          <w:color w:val="092B49"/>
          <w:sz w:val="25"/>
          <w:szCs w:val="25"/>
        </w:rPr>
        <w:t xml:space="preserve">14.  Branding and the firm's identity</w:t>
      </w:r>
    </w:p>
    <w:p>
      <w:pPr>
        <w:spacing w:after="80" w:before="0"/>
      </w:pPr>
      <w:r>
        <w:rPr>
          <w:rFonts w:ascii="Calibri" w:cs="Calibri" w:eastAsia="Calibri" w:hAnsi="Calibri"/>
          <w:i/>
          <w:iCs/>
          <w:color w:val="5A6E84"/>
          <w:sz w:val="19"/>
          <w:szCs w:val="19"/>
        </w:rPr>
        <w:t xml:space="preserve">One platform, many firms. Each supplies its own identity and sends as itself.</w:t>
      </w:r>
    </w:p>
    <w:p>
      <w:pPr>
        <w:keepNext/>
        <w:spacing w:after="30" w:before="85"/>
      </w:pPr>
      <w:r>
        <w:rPr>
          <w:rFonts w:ascii="Calibri" w:cs="Calibri" w:eastAsia="Calibri" w:hAnsi="Calibri"/>
          <w:b/>
          <w:bCs/>
          <w:caps/>
          <w:color w:val="5A6E84"/>
          <w:sz w:val="15"/>
          <w:szCs w:val="15"/>
        </w:rPr>
        <w:t xml:space="preserve">Procedure</w:t>
      </w:r>
    </w:p>
    <w:p>
      <w:pPr>
        <w:spacing w:after="36"/>
        <w:ind w:left="340" w:hanging="250"/>
      </w:pPr>
      <w:r>
        <w:rPr>
          <w:rFonts w:ascii="Calibri" w:cs="Calibri" w:eastAsia="Calibri" w:hAnsi="Calibri"/>
          <w:b/>
          <w:bCs/>
          <w:color w:val="CEB684"/>
          <w:sz w:val="19"/>
          <w:szCs w:val="19"/>
        </w:rPr>
        <w:t xml:space="preserve">1.  </w:t>
      </w:r>
      <w:r>
        <w:rPr>
          <w:rFonts w:ascii="Calibri" w:cs="Calibri" w:eastAsia="Calibri" w:hAnsi="Calibri"/>
          <w:color w:val="1E293B"/>
          <w:sz w:val="20"/>
          <w:szCs w:val="20"/>
        </w:rPr>
        <w:t xml:space="preserve">Brand name, logo, tagline and full colour palette are per firm, and carry through to exported PDFs, print reports, outbound email, link previews and browser icons.</w:t>
      </w:r>
    </w:p>
    <w:p>
      <w:pPr>
        <w:spacing w:after="36"/>
        <w:ind w:left="340" w:hanging="250"/>
      </w:pPr>
      <w:r>
        <w:rPr>
          <w:rFonts w:ascii="Calibri" w:cs="Calibri" w:eastAsia="Calibri" w:hAnsi="Calibri"/>
          <w:b/>
          <w:bCs/>
          <w:color w:val="CEB684"/>
          <w:sz w:val="19"/>
          <w:szCs w:val="19"/>
        </w:rPr>
        <w:t xml:space="preserve">2.  </w:t>
      </w:r>
      <w:r>
        <w:rPr>
          <w:rFonts w:ascii="Calibri" w:cs="Calibri" w:eastAsia="Calibri" w:hAnsi="Calibri"/>
          <w:color w:val="1E293B"/>
          <w:sz w:val="20"/>
          <w:szCs w:val="20"/>
        </w:rPr>
        <w:t xml:space="preserve">The firm's outbound sending domain must be verified with the email provider before any correspondence can be sent. This is enforced, not advisory.</w:t>
      </w:r>
    </w:p>
    <w:p>
      <w:pPr>
        <w:spacing w:after="36"/>
        <w:ind w:left="340" w:hanging="250"/>
      </w:pPr>
      <w:r>
        <w:rPr>
          <w:rFonts w:ascii="Calibri" w:cs="Calibri" w:eastAsia="Calibri" w:hAnsi="Calibri"/>
          <w:b/>
          <w:bCs/>
          <w:color w:val="CEB684"/>
          <w:sz w:val="19"/>
          <w:szCs w:val="19"/>
        </w:rPr>
        <w:t xml:space="preserve">3.  </w:t>
      </w:r>
      <w:r>
        <w:rPr>
          <w:rFonts w:ascii="Calibri" w:cs="Calibri" w:eastAsia="Calibri" w:hAnsi="Calibri"/>
          <w:color w:val="1E293B"/>
          <w:sz w:val="20"/>
          <w:szCs w:val="20"/>
        </w:rPr>
        <w:t xml:space="preserve">Runtime brand switching from the admin screen exists on the demonstration instance and is used for concurrent sales cycles. Production tenants take their brand from their own deployment.</w:t>
      </w:r>
    </w:p>
    <w:p>
      <w:pPr>
        <w:keepNext/>
        <w:spacing w:after="30" w:before="85"/>
      </w:pPr>
      <w:r>
        <w:rPr>
          <w:rFonts w:ascii="Calibri" w:cs="Calibri" w:eastAsia="Calibri" w:hAnsi="Calibri"/>
          <w:b/>
          <w:bCs/>
          <w:caps/>
          <w:color w:val="5A6E84"/>
          <w:sz w:val="15"/>
          <w:szCs w:val="15"/>
        </w:rPr>
        <w:t xml:space="preserve">Traps</w:t>
      </w:r>
    </w:p>
    <w:p>
      <w:pPr>
        <w:pBdr>
          <w:left w:val="single" w:color="E4CE9A" w:sz="18"/>
        </w:pBdr>
        <w:shd w:fill="FBF3E3" w:val="clear"/>
        <w:spacing w:after="70" w:before="60"/>
        <w:ind w:left="200" w:right="120"/>
      </w:pPr>
      <w:r>
        <w:rPr>
          <w:rFonts w:ascii="Calibri" w:cs="Calibri" w:eastAsia="Calibri" w:hAnsi="Calibri"/>
          <w:i/>
          <w:iCs/>
          <w:color w:val="7A5A19"/>
          <w:sz w:val="20"/>
          <w:szCs w:val="20"/>
        </w:rPr>
        <w:t xml:space="preserve">A firm whose sending domain is not verified can draft and approve normally but cannot send. That is the correct state for a firm mid-onboarding, and it is deliberate: an unverified sender bounces or lands in spam, and a bank instruction that silently fails to arrive is the worst outcome available.</w:t>
      </w:r>
    </w:p>
    <w:p>
      <w:r>
        <w:br w:type="page"/>
      </w:r>
    </w:p>
    <w:p>
      <w:pPr>
        <w:keepNext/>
        <w:pBdr>
          <w:bottom w:val="single" w:color="CEB684" w:sz="8"/>
        </w:pBdr>
        <w:spacing w:after="70" w:before="190"/>
      </w:pPr>
      <w:r>
        <w:rPr>
          <w:rFonts w:ascii="Georgia" w:cs="Georgia" w:eastAsia="Georgia" w:hAnsi="Georgia"/>
          <w:b/>
          <w:bCs/>
          <w:color w:val="092B49"/>
          <w:sz w:val="25"/>
          <w:szCs w:val="25"/>
        </w:rPr>
        <w:t xml:space="preserve">Standing rules</w:t>
      </w:r>
    </w:p>
    <w:p>
      <w:pPr>
        <w:spacing w:after="110" w:before="0"/>
      </w:pPr>
      <w:r>
        <w:rPr>
          <w:rFonts w:ascii="Calibri" w:cs="Calibri" w:eastAsia="Calibri" w:hAnsi="Calibri"/>
          <w:color w:val="1E293B"/>
          <w:sz w:val="21"/>
          <w:szCs w:val="21"/>
        </w:rPr>
        <w:t xml:space="preserve">These hold across every capability above. They are the answers to the questions a compliance officer asks.</w:t>
      </w:r>
    </w:p>
    <w:p>
      <w:pPr>
        <w:pStyle w:val="ListParagraph"/>
        <w:numPr>
          <w:ilvl w:val="0"/>
          <w:numId w:val="2"/>
        </w:numPr>
        <w:spacing w:after="36"/>
      </w:pPr>
      <w:r>
        <w:rPr>
          <w:rFonts w:ascii="Calibri" w:cs="Calibri" w:eastAsia="Calibri" w:hAnsi="Calibri"/>
          <w:color w:val="1E293B"/>
          <w:sz w:val="20"/>
          <w:szCs w:val="20"/>
        </w:rPr>
        <w:t xml:space="preserve">Nothing leaves the platform without a named person approving it. Approval and sending are separate acts and both are attributed.</w:t>
      </w:r>
    </w:p>
    <w:p>
      <w:pPr>
        <w:pStyle w:val="ListParagraph"/>
        <w:numPr>
          <w:ilvl w:val="0"/>
          <w:numId w:val="2"/>
        </w:numPr>
        <w:spacing w:after="36"/>
      </w:pPr>
      <w:r>
        <w:rPr>
          <w:rFonts w:ascii="Calibri" w:cs="Calibri" w:eastAsia="Calibri" w:hAnsi="Calibri"/>
          <w:color w:val="1E293B"/>
          <w:sz w:val="20"/>
          <w:szCs w:val="20"/>
        </w:rPr>
        <w:t xml:space="preserve">The platform prepares payment instructions. It never moves money.</w:t>
      </w:r>
    </w:p>
    <w:p>
      <w:pPr>
        <w:pStyle w:val="ListParagraph"/>
        <w:numPr>
          <w:ilvl w:val="0"/>
          <w:numId w:val="2"/>
        </w:numPr>
        <w:spacing w:after="36"/>
      </w:pPr>
      <w:r>
        <w:rPr>
          <w:rFonts w:ascii="Calibri" w:cs="Calibri" w:eastAsia="Calibri" w:hAnsi="Calibri"/>
          <w:color w:val="1E293B"/>
          <w:sz w:val="20"/>
          <w:szCs w:val="20"/>
        </w:rPr>
        <w:t xml:space="preserve">"Sent" means an email provider accepted the message and returned a reference. A failure is recorded as a failure and the work stays outstanding.</w:t>
      </w:r>
    </w:p>
    <w:p>
      <w:pPr>
        <w:pStyle w:val="ListParagraph"/>
        <w:numPr>
          <w:ilvl w:val="0"/>
          <w:numId w:val="2"/>
        </w:numPr>
        <w:spacing w:after="36"/>
      </w:pPr>
      <w:r>
        <w:rPr>
          <w:rFonts w:ascii="Calibri" w:cs="Calibri" w:eastAsia="Calibri" w:hAnsi="Calibri"/>
          <w:color w:val="1E293B"/>
          <w:sz w:val="20"/>
          <w:szCs w:val="20"/>
        </w:rPr>
        <w:t xml:space="preserve">A figure the platform could not establish is left as a marked placeholder. It is never guessed.</w:t>
      </w:r>
    </w:p>
    <w:p>
      <w:pPr>
        <w:pStyle w:val="ListParagraph"/>
        <w:numPr>
          <w:ilvl w:val="0"/>
          <w:numId w:val="2"/>
        </w:numPr>
        <w:spacing w:after="36"/>
      </w:pPr>
      <w:r>
        <w:rPr>
          <w:rFonts w:ascii="Calibri" w:cs="Calibri" w:eastAsia="Calibri" w:hAnsi="Calibri"/>
          <w:color w:val="1E293B"/>
          <w:sz w:val="20"/>
          <w:szCs w:val="20"/>
        </w:rPr>
        <w:t xml:space="preserve">Document text is treated as data, never as instruction — including when a document appears to contain one.</w:t>
      </w:r>
    </w:p>
    <w:p>
      <w:pPr>
        <w:pStyle w:val="ListParagraph"/>
        <w:numPr>
          <w:ilvl w:val="0"/>
          <w:numId w:val="2"/>
        </w:numPr>
        <w:spacing w:after="36"/>
      </w:pPr>
      <w:r>
        <w:rPr>
          <w:rFonts w:ascii="Calibri" w:cs="Calibri" w:eastAsia="Calibri" w:hAnsi="Calibri"/>
          <w:color w:val="1E293B"/>
          <w:sz w:val="20"/>
          <w:szCs w:val="20"/>
        </w:rPr>
        <w:t xml:space="preserve">Recipients are checked against the addresses held for that household. An unrecognised address stops the send and the override is recorded.</w:t>
      </w:r>
    </w:p>
    <w:p>
      <w:pPr>
        <w:pStyle w:val="ListParagraph"/>
        <w:numPr>
          <w:ilvl w:val="0"/>
          <w:numId w:val="2"/>
        </w:numPr>
        <w:spacing w:after="36"/>
      </w:pPr>
      <w:r>
        <w:rPr>
          <w:rFonts w:ascii="Calibri" w:cs="Calibri" w:eastAsia="Calibri" w:hAnsi="Calibri"/>
          <w:color w:val="1E293B"/>
          <w:sz w:val="20"/>
          <w:szCs w:val="20"/>
        </w:rPr>
        <w:t xml:space="preserve">Access rules are enforced inside the database, so they hold even if the application layer is bypassed.</w:t>
      </w:r>
    </w:p>
    <w:p>
      <w:pPr>
        <w:pStyle w:val="ListParagraph"/>
        <w:numPr>
          <w:ilvl w:val="0"/>
          <w:numId w:val="2"/>
        </w:numPr>
        <w:spacing w:after="36"/>
      </w:pPr>
      <w:r>
        <w:rPr>
          <w:rFonts w:ascii="Calibri" w:cs="Calibri" w:eastAsia="Calibri" w:hAnsi="Calibri"/>
          <w:color w:val="1E293B"/>
          <w:sz w:val="20"/>
          <w:szCs w:val="20"/>
        </w:rPr>
        <w:t xml:space="preserve">Playbook lead times are a starting point, not advice. Counsel confirms them per jurisdiction before a playbook runs against a real household.</w:t>
      </w:r>
    </w:p>
    <w:p>
      <w:pPr>
        <w:keepNext/>
        <w:pBdr>
          <w:bottom w:val="single" w:color="CEB684" w:sz="8"/>
        </w:pBdr>
        <w:spacing w:after="70" w:before="190"/>
      </w:pPr>
      <w:r>
        <w:rPr>
          <w:rFonts w:ascii="Georgia" w:cs="Georgia" w:eastAsia="Georgia" w:hAnsi="Georgia"/>
          <w:b/>
          <w:bCs/>
          <w:color w:val="092B49"/>
          <w:sz w:val="25"/>
          <w:szCs w:val="25"/>
        </w:rPr>
        <w:t xml:space="preserve">Known limitations</w:t>
      </w:r>
    </w:p>
    <w:p>
      <w:pPr>
        <w:spacing w:after="100" w:before="0"/>
      </w:pPr>
      <w:r>
        <w:rPr>
          <w:rFonts w:ascii="Calibri" w:cs="Calibri" w:eastAsia="Calibri" w:hAnsi="Calibri"/>
          <w:color w:val="1E293B"/>
          <w:sz w:val="21"/>
          <w:szCs w:val="21"/>
        </w:rPr>
        <w:t xml:space="preserve">Name these before a client or a prospect finds them.</w:t>
      </w:r>
    </w:p>
    <w:p>
      <w:pPr>
        <w:pStyle w:val="ListParagraph"/>
        <w:numPr>
          <w:ilvl w:val="0"/>
          <w:numId w:val="2"/>
        </w:numPr>
        <w:spacing w:after="36"/>
      </w:pPr>
      <w:r>
        <w:rPr>
          <w:rFonts w:ascii="Calibri" w:cs="Calibri" w:eastAsia="Calibri" w:hAnsi="Calibri"/>
          <w:color w:val="1E293B"/>
          <w:sz w:val="20"/>
          <w:szCs w:val="20"/>
        </w:rPr>
        <w:t xml:space="preserve">Delivery is not confirmed. The platform records that a provider accepted a message, which is not the same as it arriving. A bounced item would currently sit looking sent.</w:t>
      </w:r>
    </w:p>
    <w:p>
      <w:pPr>
        <w:pStyle w:val="ListParagraph"/>
        <w:numPr>
          <w:ilvl w:val="0"/>
          <w:numId w:val="2"/>
        </w:numPr>
        <w:spacing w:after="36"/>
      </w:pPr>
      <w:r>
        <w:rPr>
          <w:rFonts w:ascii="Calibri" w:cs="Calibri" w:eastAsia="Calibri" w:hAnsi="Calibri"/>
          <w:color w:val="1E293B"/>
          <w:sz w:val="20"/>
          <w:szCs w:val="20"/>
        </w:rPr>
        <w:t xml:space="preserve">Chasing is on a fixed cadence rather than repeating until a document arrives, so K-1 collection uses scheduled follow-ups an adviser skips when not needed.</w:t>
      </w:r>
    </w:p>
    <w:p>
      <w:pPr>
        <w:pStyle w:val="ListParagraph"/>
        <w:numPr>
          <w:ilvl w:val="0"/>
          <w:numId w:val="2"/>
        </w:numPr>
        <w:spacing w:after="36"/>
      </w:pPr>
      <w:r>
        <w:rPr>
          <w:rFonts w:ascii="Calibri" w:cs="Calibri" w:eastAsia="Calibri" w:hAnsi="Calibri"/>
          <w:color w:val="1E293B"/>
          <w:sz w:val="20"/>
          <w:szCs w:val="20"/>
        </w:rPr>
        <w:t xml:space="preserve">Nothing is triggered by a value crossing a threshold — day-count residency, covenant headroom, unfunded commitments against liquidity are not monitored.</w:t>
      </w:r>
    </w:p>
    <w:p>
      <w:pPr>
        <w:pStyle w:val="ListParagraph"/>
        <w:numPr>
          <w:ilvl w:val="0"/>
          <w:numId w:val="2"/>
        </w:numPr>
        <w:spacing w:after="36"/>
      </w:pPr>
      <w:r>
        <w:rPr>
          <w:rFonts w:ascii="Calibri" w:cs="Calibri" w:eastAsia="Calibri" w:hAnsi="Calibri"/>
          <w:color w:val="1E293B"/>
          <w:sz w:val="20"/>
          <w:szCs w:val="20"/>
        </w:rPr>
        <w:t xml:space="preserve">An adviser serving households across several branded environments signs into each separately.</w:t>
      </w:r>
    </w:p>
    <w:p>
      <w:pPr>
        <w:pStyle w:val="ListParagraph"/>
        <w:numPr>
          <w:ilvl w:val="0"/>
          <w:numId w:val="2"/>
        </w:numPr>
        <w:spacing w:after="36"/>
      </w:pPr>
      <w:r>
        <w:rPr>
          <w:rFonts w:ascii="Calibri" w:cs="Calibri" w:eastAsia="Calibri" w:hAnsi="Calibri"/>
          <w:color w:val="1E293B"/>
          <w:sz w:val="20"/>
          <w:szCs w:val="20"/>
        </w:rPr>
        <w:t xml:space="preserve">Cash flow line items are not yet linked to source documents the way properties, valuables and accounts are.</w:t>
      </w:r>
    </w:p>
    <w:p>
      <w:pPr>
        <w:pStyle w:val="ListParagraph"/>
        <w:numPr>
          <w:ilvl w:val="0"/>
          <w:numId w:val="2"/>
        </w:numPr>
        <w:spacing w:after="36"/>
      </w:pPr>
      <w:r>
        <w:rPr>
          <w:rFonts w:ascii="Calibri" w:cs="Calibri" w:eastAsia="Calibri" w:hAnsi="Calibri"/>
          <w:color w:val="1E293B"/>
          <w:sz w:val="20"/>
          <w:szCs w:val="20"/>
        </w:rPr>
        <w:t xml:space="preserve">Multi-factor authentication and a full field-level change history are not yet built. Document downloads and task completions are attributed.</w:t>
      </w:r>
    </w:p>
    <w:p>
      <w:pPr>
        <w:pBdr>
          <w:top w:val="single" w:color="CEB684" w:sz="6"/>
        </w:pBdr>
        <w:spacing w:before="300"/>
        <w:jc w:val="center"/>
      </w:pPr>
      <w:r>
        <w:rPr>
          <w:rFonts w:ascii="Calibri" w:cs="Calibri" w:eastAsia="Calibri" w:hAnsi="Calibri"/>
          <w:color w:val="5A6E84"/>
          <w:sz w:val="17"/>
          <w:szCs w:val="17"/>
        </w:rPr>
        <w:t xml:space="preserve">TitanOS  ·  Internal Standard Operating Procedures  ·  Not for circulation</w:t>
      </w:r>
    </w:p>
    <w:sectPr>
      <w:pgSz w:w="12240" w:h="15840" w:orient="portrait"/>
      <w:pgMar w:top="850" w:right="950" w:bottom="800" w:left="9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340" w:hanging="19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2026-07-28T20:45:12.612Z</dcterms:created>
  <dcterms:modified xsi:type="dcterms:W3CDTF">2026-07-28T20:45:12.613Z</dcterms:modified>
</cp:coreProperties>
</file>

<file path=docProps/custom.xml><?xml version="1.0" encoding="utf-8"?>
<Properties xmlns="http://schemas.openxmlformats.org/officeDocument/2006/custom-properties" xmlns:vt="http://schemas.openxmlformats.org/officeDocument/2006/docPropsVTypes"/>
</file>