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 Black" w:cs="Arial Black" w:eastAsia="Arial Black" w:hAnsi="Arial Black"/>
          <w:b/>
          <w:bCs/>
          <w:color w:val="092B49"/>
          <w:sz w:val="56"/>
          <w:szCs w:val="56"/>
        </w:rPr>
        <w:t xml:space="preserve">TITAN</w:t>
      </w:r>
      <w:r>
        <w:rPr>
          <w:rFonts w:ascii="Arial Black" w:cs="Arial Black" w:eastAsia="Arial Black" w:hAnsi="Arial Black"/>
          <w:b/>
          <w:bCs/>
          <w:color w:val="CEB684"/>
          <w:sz w:val="56"/>
          <w:szCs w:val="56"/>
        </w:rPr>
        <w:t xml:space="preserve">OS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A6E84"/>
          <w:sz w:val="15"/>
          <w:szCs w:val="15"/>
        </w:rPr>
        <w:t xml:space="preserve">P R I V A T E   W E A L T H   O P E R A T I N G   S Y S T E M</w:t>
      </w:r>
    </w:p>
    <w:p>
      <w:pPr>
        <w:pBdr>
          <w:bottom w:val="single" w:color="CEB684" w:sz="8"/>
        </w:pBdr>
        <w:spacing w:after="40"/>
        <w:jc w:val="center"/>
      </w:pPr>
      <w:r>
        <w:rPr>
          <w:rFonts w:ascii="Georgia" w:cs="Georgia" w:eastAsia="Georgia" w:hAnsi="Georgia"/>
          <w:b/>
          <w:bCs/>
          <w:color w:val="092B49"/>
          <w:sz w:val="32"/>
          <w:szCs w:val="32"/>
        </w:rPr>
        <w:t xml:space="preserve">Capability Overview</w:t>
      </w:r>
    </w:p>
    <w:p>
      <w:pPr>
        <w:spacing w:after="250" w:before="10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28 July 2026  ·  Confidential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TitanOS is the operating system behind a modern advisory firm: one place for a client's whole balance sheet, documents attached to the numbers they support, an assistant that answers from the firm's own records, and workflows that carry recurring obligations to completion under human approval.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Every firm runs in its own isolated environment under its own brand. PCM Family Office is the pilot client.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092B49"/>
          <w:sz w:val="19"/>
          <w:szCs w:val="19"/>
        </w:rPr>
        <w:t xml:space="preserve">Reading the status column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40"/>
      </w:tblGrid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 production today, carrying real client data</w:t>
            </w:r>
          </w:p>
        </w:tc>
      </w:tr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Built and working on the demonstration instance</w:t>
            </w:r>
          </w:p>
        </w:tc>
      </w:tr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DEF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A5568"/>
                <w:sz w:val="16"/>
                <w:szCs w:val="16"/>
              </w:rPr>
              <w:t xml:space="preserve">BUILDING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 active development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1.  White-label, genuinely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The product is TitanOS. Every firm — including PCM — is a tenant that supplies its own identity. Nothing in the codebase treats one firm as special.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 name, logo, tagline and full colour palette per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Runtime brand switching from an admin screen — no rebuild, no developer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Several saved brands, switched in one click, for concurrent sales cycles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Branding carries through to exported PDFs, print reports and outbound email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Branded link previews, favicons and browser chrome per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Dedicated database per firm — no shared tables, no shared rows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Every client firm gets an isolated environment with its own database, provisioned in under a day, carrying their brand end to end — down to the PDF a client opens on their phone.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2.  One place for the whole balance sheet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Properties with loan, tax, insurance, flood and rental detail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Portfolio accounts, with lines of credit correctly excluded from asset totals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Valuables, flagged insured or not scheduled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Cash flow modelling with tax treatment and multi-year projection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Deals pipeline and prospect tracking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Tasks, deadlines and recurring obligations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Professional contacts and property vendors, click to call and click to email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3.  Documents attached to the numbers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Most platforms give you a folder. This links a document to the figure it supports.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Vault organised into folders by category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AI reads uploaded documents — embedded text, and OCR for scans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Documents linked to a specific property section: mortgage, tax bill, insurance declarations, insurance invoice, flood, rental agreement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 linked to the schedule that covers them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Attach from the figure itself — a paperclip beside Property Taxes opens a pre-filled upload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Replacing a document keeps the previous one on file, unlinked, for history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Download audit log — who opened which document, and when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Time-limited signed links; no permanent public file URLs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Demo moment: open a property, click the icon beside the insurance premium, and the declarations page opens. Next year's bill replaces it in two clicks and last year's stays on file.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4.  AI that works from the client's own records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Not a chatbot bolted on. It answers from one family's data and names the document it used.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Per-family assistant answering from that family's records and document contents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Strictly scoped to one family — it cannot answer across relationships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Floating assistant on every page; firm-wide screens ask which client first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Named per family, so the client meets a consistent assistant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Scheduled reports on a cadence, delivered as branded PDFs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Concierge research — live web search for what a client asked the firm to watch for, with sources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 field extraction to pre-fill property records from a statement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Treats document text strictly as data, never as instructions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Demo moment: ask “is anything uninsured?” and it names the vehicle missing from the schedule, because it read the endorsement.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5.  Workflows: obligations carried to completion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The difference between software that tells you something and software that gets something done.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Recurring obligations: premiums, estimated tax, RMDs, capital calls, loan payments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Four starter playbooks ship with the product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Lead times measured back from the due date, per playbook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Conditional steps — Crummey notices only where the trust requires them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Conditions resolved before dates are set, because they change the schedule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Flagged at risk on day one when a cycle starts too late to fit its own lead times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outbound item held for named human approval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Skipped steps stay visible, so nothing looks forgotten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Template library in Resources: read the exact playbook before it runs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Steps read in plain language — 60 days before, who acts, and to whom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Admins edit lead times, actors, recipients and conditions; others read 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New playbooks are rows, not code — the firm adds its own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Review queue on the dashboard: everything awaiting a person, across the 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DEF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A5568"/>
                <w:sz w:val="16"/>
                <w:szCs w:val="16"/>
              </w:rPr>
              <w:t xml:space="preserve">BUILDING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Two things to say out loud: nothing sends without a named approval, and the platform prepares payment instructions but never moves money. Those are the reasons a compliance officer says yes.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6.  Roles and permissions enforced at the data layer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Access rules live in the database, so they hold even if the application layer is bypassed.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Four roles: Admin, Titan Expert, Partner, Client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Row-level security per family, enforced in Postgres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Titan Experts see only their own 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Partners: read-only, per-family grants, document upload 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Clients: their own family, read-only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Permission changes take effect immediately, including for scheduled automations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Per-partner feature permissions, such as who may run scheduled reports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Admin screens gated on role at the view, not only in the menu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Clients may email their own advisor, never other advisors at the firm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7.  Client experience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Branded client portal carrying the firm's identity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Read-only net worth, properties, accounts, valuables and documents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Email their advisor from inside the portal; primary advisor always copied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Mobile responsive throughout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Firm-paid bills marked paid, recording who paid and when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8.  Operational quality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Unglamorous, and the reason it survives a real deployment.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Long AI jobs run in the background — no timeouts on multi-minute research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build stamped; open tabs are told when a newer version is live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Cache rules: immutable hashed assets, never-cached entry point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 artwork versioned, so a replaced logo appears immediately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Artwork failure falls back to the brand name rather than a blank header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Unsaved brand edits survive leaving the page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Unrecognised categories fall into Other rather than hiding an asset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spacing w:after="90" w:before="220"/>
      </w:pPr>
      <w:r>
        <w:rPr>
          <w:rFonts w:ascii="Georgia" w:cs="Georgia" w:eastAsia="Georgia" w:hAnsi="Georgia"/>
          <w:b/>
          <w:bCs/>
          <w:color w:val="092B49"/>
          <w:sz w:val="22"/>
          <w:szCs w:val="22"/>
        </w:rPr>
        <w:t xml:space="preserve">Starter playbooks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0"/>
        <w:gridCol w:w="1400"/>
        <w:gridCol w:w="1900"/>
        <w:gridCol w:w="2900"/>
      </w:tblGrid>
      <w:tr>
        <w:trPr>
          <w:tblHeader/>
        </w:trPr>
        <w:tc>
          <w:tcPr>
            <w:tcW w:type="dxa" w:w="40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Playbook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Steps</w:t>
            </w:r>
          </w:p>
        </w:tc>
        <w:tc>
          <w:tcPr>
            <w:tcW w:type="dxa" w:w="1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Lead time</w:t>
            </w:r>
          </w:p>
        </w:tc>
        <w:tc>
          <w:tcPr>
            <w:tcW w:type="dxa" w:w="2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Conditional step</w:t>
            </w:r>
          </w:p>
        </w:tc>
      </w:tr>
      <w:tr>
        <w:tc>
          <w:tcPr>
            <w:tcW w:type="dxa" w:w="40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ILIT Premium Funding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</w:t>
            </w:r>
          </w:p>
        </w:tc>
        <w:tc>
          <w:tcPr>
            <w:tcW w:type="dxa" w:w="1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Crummey notices</w:t>
            </w:r>
          </w:p>
        </w:tc>
      </w:tr>
      <w:tr>
        <w:tc>
          <w:tcPr>
            <w:tcW w:type="dxa" w:w="40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Property Insurance Renewal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Market check</w:t>
            </w:r>
          </w:p>
        </w:tc>
      </w:tr>
      <w:tr>
        <w:tc>
          <w:tcPr>
            <w:tcW w:type="dxa" w:w="40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Quarterly Estimated Tax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30 days</w:t>
            </w:r>
          </w:p>
        </w:tc>
        <w:tc>
          <w:tcPr>
            <w:tcW w:type="dxa" w:w="2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CPA sign-off</w:t>
            </w:r>
          </w:p>
        </w:tc>
      </w:tr>
      <w:tr>
        <w:tc>
          <w:tcPr>
            <w:tcW w:type="dxa" w:w="40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Private Fund Capital Call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12 days</w:t>
            </w:r>
          </w:p>
        </w:tc>
        <w:tc>
          <w:tcPr>
            <w:tcW w:type="dxa" w:w="2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Between them these span five to nine steps, lead times from twelve days to seventy-five, two to four recipient types and three different conditional flags — all held as data rather than code, which is what lets a firm add its own playbooks.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Known gaps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Named here so they are raised by us rather than discovered by a prospect. Each has a credible answer.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Cross-firm single sign-on. A Titan Expert serving clients through several branded instances signs into each separately. Deliberate isolation today; central identity is on the roadmap.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Multi-factor authentication and a full change-history audit. Document downloads and task completions are attributed today; a complete record of field-level changes is not yet built.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Portfolio statements and cash flow line items are not yet linked to source documents the way properties and valuables are.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Backup and recovery policy should be stated explicitly for an enterprise buyer.</w:t>
      </w:r>
    </w:p>
    <w:p>
      <w:pPr>
        <w:pBdr>
          <w:top w:val="single" w:color="CEB684" w:sz="6"/>
        </w:pBdr>
        <w:spacing w:before="32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TitanOS  ·  Confidential  ·  Pilot client: PCM Family Office</w:t>
      </w:r>
    </w:p>
    <w:sectPr>
      <w:pgSz w:w="12240" w:h="15840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2026-07-28T13:01:18.052Z</dcterms:created>
  <dcterms:modified xsi:type="dcterms:W3CDTF">2026-07-28T13:01:18.052Z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