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Georgia" w:cs="Georgia" w:eastAsia="Georgia" w:hAnsi="Georgia"/>
          <w:b/>
          <w:bCs/>
          <w:color w:val="092B49"/>
          <w:sz w:val="44"/>
          <w:szCs w:val="44"/>
        </w:rPr>
        <w:t xml:space="preserve">TITANOS</w:t>
      </w:r>
    </w:p>
    <w:p>
      <w:pPr>
        <w:spacing w:after="4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Standard Operating Procedures</w:t>
      </w:r>
    </w:p>
    <w:p>
      <w:pPr>
        <w:spacing w:after="40"/>
        <w:jc w:val="center"/>
      </w:pPr>
      <w:r>
        <w:rPr>
          <w:rFonts w:ascii="Calibri" w:cs="Calibri" w:eastAsia="Calibri" w:hAnsi="Calibri"/>
          <w:color w:val="5A6E84"/>
          <w:sz w:val="18"/>
          <w:szCs w:val="18"/>
        </w:rPr>
        <w:t xml:space="preserve">Every capability, how to run it, and what goes wrong</w:t>
      </w:r>
    </w:p>
    <w:p>
      <w:pPr>
        <w:spacing w:after="110"/>
        <w:jc w:val="center"/>
      </w:pPr>
      <w:r>
        <w:rPr>
          <w:rFonts w:ascii="Calibri" w:cs="Calibri" w:eastAsia="Calibri" w:hAnsi="Calibri"/>
          <w:b/>
          <w:bCs/>
          <w:color w:val="8B1A1A"/>
          <w:sz w:val="18"/>
          <w:szCs w:val="18"/>
        </w:rPr>
        <w:t xml:space="preserve">Internal — TitanOS and PCM staff.  Not for circulation.</w:t>
      </w:r>
    </w:p>
    <w:p>
      <w:pPr>
        <w:spacing w:after="70" w:before="0"/>
      </w:pPr>
      <w:r>
        <w:rPr>
          <w:rFonts w:ascii="Calibri" w:cs="Calibri" w:eastAsia="Calibri" w:hAnsi="Calibri"/>
          <w:color w:val="1E293B"/>
          <w:sz w:val="20"/>
          <w:szCs w:val="20"/>
        </w:rPr>
        <w:t xml:space="preserve">One section per area of the platform, in the order you would meet them working a household. Each covers what the capability is for, the procedure, what to check before you move on, and the traps — the things that have actually caught someone.</w:t>
      </w:r>
    </w:p>
    <w:p>
      <w:pPr>
        <w:spacing w:after="70" w:before="0"/>
      </w:pPr>
      <w:r>
        <w:rPr>
          <w:rFonts w:ascii="Calibri" w:cs="Calibri" w:eastAsia="Calibri" w:hAnsi="Calibri"/>
          <w:color w:val="1E293B"/>
          <w:sz w:val="20"/>
          <w:szCs w:val="20"/>
        </w:rPr>
        <w:t xml:space="preserve">Where a procedure says the platform refuses to do something, that refusal is deliberate and enforced. It is not a bug to be worked around, and the reason is given so you can explain it to a client or a compliance officer.</w:t>
      </w:r>
    </w:p>
    <w:p>
      <w:pPr>
        <w:spacing w:after="70" w:before="0"/>
      </w:pPr>
      <w:r>
        <w:rPr>
          <w:rFonts w:ascii="Calibri" w:cs="Calibri" w:eastAsia="Calibri" w:hAnsi="Calibri"/>
          <w:i/>
          <w:iCs/>
          <w:color w:val="5A6E84"/>
          <w:sz w:val="18"/>
          <w:szCs w:val="18"/>
        </w:rPr>
        <w:t xml:space="preserve">Revised 28 July 2026.</w:t>
      </w:r>
    </w:p>
    <w:p>
      <w:pPr>
        <w:keepNext/>
        <w:pBdr>
          <w:bottom w:val="single" w:color="CEB684" w:sz="8"/>
        </w:pBdr>
        <w:spacing w:after="70" w:before="190"/>
      </w:pPr>
      <w:r>
        <w:rPr>
          <w:rFonts w:ascii="Georgia" w:cs="Georgia" w:eastAsia="Georgia" w:hAnsi="Georgia"/>
          <w:b/>
          <w:bCs/>
          <w:color w:val="092B49"/>
          <w:sz w:val="25"/>
          <w:szCs w:val="25"/>
        </w:rPr>
        <w:t xml:space="preserve">Contents</w:t>
      </w:r>
    </w:p>
    <w:p>
      <w:pPr>
        <w:spacing w:after="60" w:before="0"/>
      </w:pPr>
      <w:r>
        <w:rPr>
          <w:rFonts w:ascii="Calibri" w:cs="Calibri" w:eastAsia="Calibri" w:hAnsi="Calibri"/>
          <w:color w:val="5A6E84"/>
          <w:sz w:val="19"/>
          <w:szCs w:val="19"/>
        </w:rPr>
        <w:t xml:space="preserve">14 capability areas, followed by 7 working checklists, the standing rules and the known limitations.</w:t>
      </w:r>
    </w:p>
    <w:p>
      <w:pPr>
        <w:spacing w:after="22"/>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22"/>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22"/>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22"/>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22"/>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22"/>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22"/>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22"/>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22"/>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22"/>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22"/>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22"/>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22"/>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22"/>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pPr>
        <w:keepNext/>
        <w:pBdr>
          <w:bottom w:val="single" w:color="CEB684" w:sz="8"/>
        </w:pBdr>
        <w:spacing w:after="70" w:before="190"/>
      </w:pPr>
      <w:r>
        <w:rPr>
          <w:rFonts w:ascii="Georgia" w:cs="Georgia" w:eastAsia="Georgia" w:hAnsi="Georgia"/>
          <w:b/>
          <w:bCs/>
          <w:color w:val="092B49"/>
          <w:sz w:val="25"/>
          <w:szCs w:val="25"/>
        </w:rPr>
        <w:t xml:space="preserve">1.  Roles and what each can do</w:t>
      </w:r>
    </w:p>
    <w:p>
      <w:pPr>
        <w:spacing w:after="80" w:before="0"/>
      </w:pPr>
      <w:r>
        <w:rPr>
          <w:rFonts w:ascii="Calibri" w:cs="Calibri" w:eastAsia="Calibri" w:hAnsi="Calibri"/>
          <w:i/>
          <w:iCs/>
          <w:color w:val="5A6E84"/>
          <w:sz w:val="19"/>
          <w:szCs w:val="19"/>
        </w:rPr>
        <w:t xml:space="preserve">Every rule below is enforced inside the database, not just hidden in the menu. A person cannot reach data outside their role even by going around the screen.</w:t>
      </w:r>
    </w:p>
    <w:p>
      <w:pPr>
        <w:keepNext/>
        <w:spacing w:after="30" w:before="85"/>
      </w:pPr>
      <w:r>
        <w:rPr>
          <w:rFonts w:ascii="Calibri" w:cs="Calibri" w:eastAsia="Calibri" w:hAnsi="Calibri"/>
          <w:b/>
          <w:bCs/>
          <w:caps/>
          <w:color w:val="5A6E84"/>
          <w:sz w:val="15"/>
          <w:szCs w:val="15"/>
        </w:rPr>
        <w:t xml:space="preserve">Who can do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Their own household only, read-only.</w:t>
            </w:r>
          </w:p>
        </w:tc>
      </w:tr>
    </w:tbl>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Set every client's responsible Expert on the client record. This one field drives who can see the client, who is copied on correspondence, and which address outbound mail is sent from — so an error here has three separate consequences.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Grant a Partner access client by client. There is no firm-wide Partner access and there should not be.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 Partner cannot approve correspondence, record a balance or start a workflow cycle. If one asks why a button is missing, that is why.</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Changing a role takes effect immediately, including for scheduled automations already configured.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Expert whose email address is not on the firm's verified sending domain cannot send correspondence for their clients. Catch this when the person is set up, not on a live deadline.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Partner's access to a client does not delete anything they uploaded. That is intended — the documents belong to the client.</w:t>
      </w:r>
    </w:p>
    <w:p>
      <w:pPr>
        <w:keepNext/>
        <w:pBdr>
          <w:bottom w:val="single" w:color="CEB684" w:sz="8"/>
        </w:pBdr>
        <w:spacing w:after="70" w:before="190"/>
      </w:pPr>
      <w:r>
        <w:rPr>
          <w:rFonts w:ascii="Georgia" w:cs="Georgia" w:eastAsia="Georgia" w:hAnsi="Georgia"/>
          <w:b/>
          <w:bCs/>
          <w:color w:val="092B49"/>
          <w:sz w:val="25"/>
          <w:szCs w:val="25"/>
        </w:rPr>
        <w:t xml:space="preserve">2.  Households and their people</w:t>
      </w:r>
    </w:p>
    <w:p>
      <w:pPr>
        <w:spacing w:after="80" w:before="0"/>
      </w:pPr>
      <w:r>
        <w:rPr>
          <w:rFonts w:ascii="Calibri" w:cs="Calibri" w:eastAsia="Calibri" w:hAnsi="Calibri"/>
          <w:i/>
          <w:iCs/>
          <w:color w:val="5A6E84"/>
          <w:sz w:val="19"/>
          <w:szCs w:val="19"/>
        </w:rPr>
        <w:t xml:space="preserve">The household record is the spine everything else hangs from: properties, accounts, documents, obligations and correspondence are all scoped to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household, then set the responsible Expert before adding anything else.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members under Members. Mark one as PRIMARY with the star — this is the person copied on every piece of outbound correspondence about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Add professional contacts — accountant, attorney, banker, insurance broker — under Team Member &amp; Contacts. Tick 'Client can email this contact' for anyone the household should be able to reach from the portal.</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Add the household's real counterparties as you meet them. Bankers, trustees, carriers and fund administrators all need to be on file before correspondence can be sent to them.</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Every household has a primary member designated, or you know why not.</w:t>
      </w:r>
    </w:p>
    <w:p>
      <w:pPr>
        <w:pStyle w:val="ListParagraph"/>
        <w:numPr>
          <w:ilvl w:val="0"/>
          <w:numId w:val="2"/>
        </w:numPr>
        <w:spacing w:after="36"/>
      </w:pPr>
      <w:r>
        <w:rPr>
          <w:rFonts w:ascii="Calibri" w:cs="Calibri" w:eastAsia="Calibri" w:hAnsi="Calibri"/>
          <w:color w:val="1E293B"/>
          <w:sz w:val="20"/>
          <w:szCs w:val="20"/>
        </w:rPr>
        <w:t xml:space="preserve">The primary member has an email address. Without one there is nobody to copy.</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Where several members have email addresses and none is marked primary, the platform copies nobody and says so on the draft. It will not guess between a husband and wife, and you should not want it to.</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Contacts are also the recipient allowlist. An address that is not on file for the household will stop a send and ask for explicit confirmation — so keeping contacts current is not housekeeping, it is what keeps correspondence flowing.</w:t>
      </w:r>
    </w:p>
    <w:p>
      <w:pPr>
        <w:keepNext/>
        <w:pBdr>
          <w:bottom w:val="single" w:color="CEB684" w:sz="8"/>
        </w:pBdr>
        <w:spacing w:after="70" w:before="190"/>
      </w:pPr>
      <w:r>
        <w:rPr>
          <w:rFonts w:ascii="Georgia" w:cs="Georgia" w:eastAsia="Georgia" w:hAnsi="Georgia"/>
          <w:b/>
          <w:bCs/>
          <w:color w:val="092B49"/>
          <w:sz w:val="25"/>
          <w:szCs w:val="25"/>
        </w:rPr>
        <w:t xml:space="preserve">3.  Properties and the documents behind them</w:t>
      </w:r>
    </w:p>
    <w:p>
      <w:pPr>
        <w:spacing w:after="80" w:before="0"/>
      </w:pPr>
      <w:r>
        <w:rPr>
          <w:rFonts w:ascii="Calibri" w:cs="Calibri" w:eastAsia="Calibri" w:hAnsi="Calibri"/>
          <w:i/>
          <w:iCs/>
          <w:color w:val="5A6E84"/>
          <w:sz w:val="19"/>
          <w:szCs w:val="19"/>
        </w:rPr>
        <w:t xml:space="preserve">A property is not just an address and a value. It carries a loan, a tax bill, insurance, sometimes flood cover and a tenancy — and each of those has a document that proves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property with ownership, type and value. Add loan, tax, insurance, flood and rental detail as you have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Add vendors under the property — gardener, manager, contractor. These become click-to-call and click-to-email for whoever is working the household.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Attach the document behind each figure. A paperclip beside an unlinked section takes you to the Vault with the property and section already chosen.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pre-fill a property from a closing document or statement, use the extract option on the property form and check every value it proposes before saving.</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Each section that should have a document has one: mortgage note, tax bill, insurance declarations, insurance invoice, flood declarations, tenancy agreement.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Replacing a document does not delete the old one. It is unlinked and stays in the Vault, so last year's tax bill and an expired policy remain available. This is deliberate; do not go looking for a delete.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Anything the AI proposes from a document is a proposal. It is right often enough to be useful and wrong often enough that you must read it.</w:t>
      </w:r>
    </w:p>
    <w:p>
      <w:pPr>
        <w:keepNext/>
        <w:pBdr>
          <w:bottom w:val="single" w:color="CEB684" w:sz="8"/>
        </w:pBdr>
        <w:spacing w:after="70" w:before="190"/>
      </w:pPr>
      <w:r>
        <w:rPr>
          <w:rFonts w:ascii="Georgia" w:cs="Georgia" w:eastAsia="Georgia" w:hAnsi="Georgia"/>
          <w:b/>
          <w:bCs/>
          <w:color w:val="092B49"/>
          <w:sz w:val="25"/>
          <w:szCs w:val="25"/>
        </w:rPr>
        <w:t xml:space="preserve">4.  Portfolio accounts, statements and balances</w:t>
      </w:r>
    </w:p>
    <w:p>
      <w:pPr>
        <w:spacing w:after="80" w:before="0"/>
      </w:pPr>
      <w:r>
        <w:rPr>
          <w:rFonts w:ascii="Calibri" w:cs="Calibri" w:eastAsia="Calibri" w:hAnsi="Calibri"/>
          <w:i/>
          <w:iCs/>
          <w:color w:val="5A6E84"/>
          <w:sz w:val="19"/>
          <w:szCs w:val="19"/>
        </w:rPr>
        <w:t xml:space="preserve">A balance is not a number, it is a number as at a date, from a statement. This is what lets you answer 'where did this figure come from' in a client meeting.</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account with institution, type, banker and opening balance.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To record a balance from a statement: open Balance history on the account, choose Statement, and pick the file. It is filed to the Vault against the account first, then read.</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Check the proposed closing balance and period end against the statement, and against the figure already on file — the difference is shown for you. Correct anything wrong, then press Record balance.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To record a figure with no statement — an opening position, or a balance a banker confirmed by phone — use + Balance and leave the document blank.</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Give the statement its period label as your firm writes it: 2026-Q2, June 2026, FY26. Whatever you use, use it consistently.</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account header shows a date, not 'no date on this figure'.</w:t>
      </w:r>
    </w:p>
    <w:p>
      <w:pPr>
        <w:pStyle w:val="ListParagraph"/>
        <w:numPr>
          <w:ilvl w:val="0"/>
          <w:numId w:val="2"/>
        </w:numPr>
        <w:spacing w:after="36"/>
      </w:pPr>
      <w:r>
        <w:rPr>
          <w:rFonts w:ascii="Calibri" w:cs="Calibri" w:eastAsia="Calibri" w:hAnsi="Calibri"/>
          <w:color w:val="1E293B"/>
          <w:sz w:val="20"/>
          <w:szCs w:val="20"/>
        </w:rPr>
        <w:t xml:space="preserve">The balance shown matches the statement you just filed.</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Recording a balance for a period that already has one replaces it. That is right for a restated statement, and it means you cannot accidentally end up with two figures both claiming to be Q2.</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Removing a balance entry makes the account fall back to the next most recent figure — it does not restore what was there before the history existed.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 a consolidated statement covering several accounts the platform will not add them together. It flags low confidence and says so. Enter the account's own figure yourself.</w:t>
      </w:r>
    </w:p>
    <w:p>
      <w:pPr>
        <w:keepNext/>
        <w:pBdr>
          <w:bottom w:val="single" w:color="CEB684" w:sz="8"/>
        </w:pBdr>
        <w:spacing w:after="70" w:before="190"/>
      </w:pPr>
      <w:r>
        <w:rPr>
          <w:rFonts w:ascii="Georgia" w:cs="Georgia" w:eastAsia="Georgia" w:hAnsi="Georgia"/>
          <w:b/>
          <w:bCs/>
          <w:color w:val="092B49"/>
          <w:sz w:val="25"/>
          <w:szCs w:val="25"/>
        </w:rPr>
        <w:t xml:space="preserve">5.  Valuables</w:t>
      </w:r>
    </w:p>
    <w:p>
      <w:pPr>
        <w:spacing w:after="80" w:before="0"/>
      </w:pPr>
      <w:r>
        <w:rPr>
          <w:rFonts w:ascii="Calibri" w:cs="Calibri" w:eastAsia="Calibri" w:hAnsi="Calibri"/>
          <w:i/>
          <w:iCs/>
          <w:color w:val="5A6E84"/>
          <w:sz w:val="19"/>
          <w:szCs w:val="19"/>
        </w:rPr>
        <w:t xml:space="preserve">Art, jewellery, vehicles and collections, and — more usefully — whether each one is actually insured.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each item with category and value, and link it to the schedule or endorsement that covers it.</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Anything without cover reads 'Not scheduled' rather than showing nothing, so a gap is visible instead of absent.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Refresh appraisals on the cycle the insurer requires and file the new valuation against the item.</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falls into 'Other' rather than disappearing. This exists because a vehicle once vanished from a household's list while still counting toward the total — if a figure and a list disagree, that is the first thing to check.</w:t>
      </w:r>
    </w:p>
    <w:p>
      <w:pPr>
        <w:keepNext/>
        <w:pBdr>
          <w:bottom w:val="single" w:color="CEB684" w:sz="8"/>
        </w:pBdr>
        <w:spacing w:after="70" w:before="190"/>
      </w:pPr>
      <w:r>
        <w:rPr>
          <w:rFonts w:ascii="Georgia" w:cs="Georgia" w:eastAsia="Georgia" w:hAnsi="Georgia"/>
          <w:b/>
          <w:bCs/>
          <w:color w:val="092B49"/>
          <w:sz w:val="25"/>
          <w:szCs w:val="25"/>
        </w:rPr>
        <w:t xml:space="preserve">6.  Cash flow</w:t>
      </w:r>
    </w:p>
    <w:p>
      <w:pPr>
        <w:spacing w:after="80" w:before="0"/>
      </w:pPr>
      <w:r>
        <w:rPr>
          <w:rFonts w:ascii="Calibri" w:cs="Calibri" w:eastAsia="Calibri" w:hAnsi="Calibri"/>
          <w:i/>
          <w:iCs/>
          <w:color w:val="5A6E84"/>
          <w:sz w:val="19"/>
          <w:szCs w:val="19"/>
        </w:rPr>
        <w:t xml:space="preserve">What comes in, what goes out, what the firm pays on the household's behalf, and what that looks like over several years.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income and expense events with their tax treatment. Recurring items go in once.</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Mark items the firm pays on the household's behalf. When paid, the record shows who paid it and when.</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Use the multi-year projection before any conversation about a large outflow — a capital call, a tax instalment, a purchase.</w:t>
      </w:r>
    </w:p>
    <w:p>
      <w:pPr>
        <w:keepNext/>
        <w:pBdr>
          <w:bottom w:val="single" w:color="CEB684" w:sz="8"/>
        </w:pBdr>
        <w:spacing w:after="70" w:before="190"/>
      </w:pPr>
      <w:r>
        <w:rPr>
          <w:rFonts w:ascii="Georgia" w:cs="Georgia" w:eastAsia="Georgia" w:hAnsi="Georgia"/>
          <w:b/>
          <w:bCs/>
          <w:color w:val="092B49"/>
          <w:sz w:val="25"/>
          <w:szCs w:val="25"/>
        </w:rPr>
        <w:t xml:space="preserve">7.  The Vault</w:t>
      </w:r>
    </w:p>
    <w:p>
      <w:pPr>
        <w:spacing w:after="80" w:before="0"/>
      </w:pPr>
      <w:r>
        <w:rPr>
          <w:rFonts w:ascii="Calibri" w:cs="Calibri" w:eastAsia="Calibri" w:hAnsi="Calibri"/>
          <w:i/>
          <w:iCs/>
          <w:color w:val="5A6E84"/>
          <w:sz w:val="19"/>
          <w:szCs w:val="19"/>
        </w:rPr>
        <w:t xml:space="preserve">One place for every document, organised so it can be found, and readable by the assistant so it can be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Upload into the folder matching the document's category. Choosing a property section pre-selects the right folder for you.</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Every upload is read — embedded text where it exists, OCR for scans — so the assistant can answer from it afterwards.</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Link the document to what it supports: a property section, a valuables schedule, or a portfolio account.</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Documents open through short-lived signed links. There are no permanent public URLs to a client's papers.</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Every download is logged against the person who opened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An unrecognised category lands in 'Other' rather than vanishing. Same reason as valuables.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document filed against an account still appears on the account card even if no balance entry references it, so nothing you file becomes invisible.</w:t>
      </w:r>
    </w:p>
    <w:p>
      <w:pPr>
        <w:keepNext/>
        <w:pBdr>
          <w:bottom w:val="single" w:color="CEB684" w:sz="8"/>
        </w:pBdr>
        <w:spacing w:after="70" w:before="190"/>
      </w:pPr>
      <w:r>
        <w:rPr>
          <w:rFonts w:ascii="Georgia" w:cs="Georgia" w:eastAsia="Georgia" w:hAnsi="Georgia"/>
          <w:b/>
          <w:bCs/>
          <w:color w:val="092B49"/>
          <w:sz w:val="25"/>
          <w:szCs w:val="25"/>
        </w:rPr>
        <w:t xml:space="preserve">8.  Obligations and workflow cycles</w:t>
      </w:r>
    </w:p>
    <w:p>
      <w:pPr>
        <w:spacing w:after="80" w:before="0"/>
      </w:pPr>
      <w:r>
        <w:rPr>
          <w:rFonts w:ascii="Calibri" w:cs="Calibri" w:eastAsia="Calibri" w:hAnsi="Calibri"/>
          <w:i/>
          <w:iCs/>
          <w:color w:val="5A6E84"/>
          <w:sz w:val="19"/>
          <w:szCs w:val="19"/>
        </w:rPr>
        <w:t xml:space="preserve">The difference between software that reminds you and software that carries a commitment to completion. Nine playbooks ship with the platform, covering insurance, trusts and estates, tax and investments.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obligation on the household: what it is, the amount, the due date, how often it recurs, the reference number and counterparty, and the accounts money moves between.</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Answer the conditional questions on the obligation before starting a cycle. Does the trust require Crummey notices? Is the annuity paid in kind? Should the accountant sign off? These change every downstream date, which is why they are asked first.</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Start the cycle. Every step is laid out against a real calendar date, counted back from the due date.</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If a cycle is started too late for its own lead times it flags itself at risk on day one and names the step that has already slipped. Deal with that immediately rather than working through the list.</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Steps that do not apply are written as skipped and stay visible, so nothing looks forgotten.</w:t>
      </w:r>
    </w:p>
    <w:p>
      <w:pPr>
        <w:spacing w:after="36"/>
        <w:ind w:left="340" w:hanging="250"/>
      </w:pPr>
      <w:r>
        <w:rPr>
          <w:rFonts w:ascii="Calibri" w:cs="Calibri" w:eastAsia="Calibri" w:hAnsi="Calibri"/>
          <w:b/>
          <w:bCs/>
          <w:color w:val="CEB684"/>
          <w:sz w:val="19"/>
          <w:szCs w:val="19"/>
        </w:rPr>
        <w:t xml:space="preserve">6.  </w:t>
      </w:r>
      <w:r>
        <w:rPr>
          <w:rFonts w:ascii="Calibri" w:cs="Calibri" w:eastAsia="Calibri" w:hAnsi="Calibri"/>
          <w:color w:val="1E293B"/>
          <w:sz w:val="20"/>
          <w:szCs w:val="20"/>
        </w:rPr>
        <w:t xml:space="preserve">Read the playbook in Resources before running it against a household for the first time.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The conditional answers on the obligation match the trust document or the client's instruction, not an assumption.</w:t>
      </w:r>
    </w:p>
    <w:p>
      <w:pPr>
        <w:pStyle w:val="ListParagraph"/>
        <w:numPr>
          <w:ilvl w:val="0"/>
          <w:numId w:val="2"/>
        </w:numPr>
        <w:spacing w:after="36"/>
      </w:pPr>
      <w:r>
        <w:rPr>
          <w:rFonts w:ascii="Calibri" w:cs="Calibri" w:eastAsia="Calibri" w:hAnsi="Calibri"/>
          <w:color w:val="1E293B"/>
          <w:sz w:val="20"/>
          <w:szCs w:val="20"/>
        </w:rPr>
        <w:t xml:space="preserve">The dates the cycle produced look right for the obligation — a premium 60 days out, a withdrawal window of the length the trust actually specifies.</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Lead times shipped with the platform are a considered starting point, not advice. Have counsel confirm them for the jurisdiction before a playbook runs against a real household. Admins can edit them; others cannot, because changing a lead time changes when client money gets requested.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Amending an obligation does not rewrite a cycle already in flight. The conditional answers are captured when the cycle starts, on purpose.</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Partnership K-1 collection uses scheduled follow-ups rather than chasing until a document arrives. Skip the follow-ups that are not needed; a skipped step still shows it was considered.</w:t>
      </w:r>
    </w:p>
    <w:p>
      <w:pPr>
        <w:keepNext/>
        <w:pBdr>
          <w:bottom w:val="single" w:color="CEB684" w:sz="8"/>
        </w:pBdr>
        <w:spacing w:after="70" w:before="190"/>
      </w:pPr>
      <w:r>
        <w:rPr>
          <w:rFonts w:ascii="Georgia" w:cs="Georgia" w:eastAsia="Georgia" w:hAnsi="Georgia"/>
          <w:b/>
          <w:bCs/>
          <w:color w:val="092B49"/>
          <w:sz w:val="25"/>
          <w:szCs w:val="25"/>
        </w:rPr>
        <w:t xml:space="preserve">9.  Preparing, approving and sending correspondence</w:t>
      </w:r>
    </w:p>
    <w:p>
      <w:pPr>
        <w:spacing w:after="80" w:before="0"/>
      </w:pPr>
      <w:r>
        <w:rPr>
          <w:rFonts w:ascii="Calibri" w:cs="Calibri" w:eastAsia="Calibri" w:hAnsi="Calibri"/>
          <w:i/>
          <w:iCs/>
          <w:color w:val="5A6E84"/>
          <w:sz w:val="19"/>
          <w:szCs w:val="19"/>
        </w:rPr>
        <w:t xml:space="preserve">This is where the platform does the most and is trusted the least by design. It assembles the document; a person decides.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the step from the review queue on the dashboard, or from the household's Obligations tab.</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Press Prepare draft. The platform assembles the item from the obligation, the funding accounts and the text of the source document on file — a bank transfer request, a trustee instruction, a Crummey notice and an accountant's note are each written differently.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Read it. Square-bracketed placeholders mark anything the record could not supply; complete those before approving.</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Check the recipient and the copy. The household's primary contact is copied automatically, unless they are the addressee.</w:t>
      </w:r>
    </w:p>
    <w:p>
      <w:pPr>
        <w:spacing w:after="36"/>
        <w:ind w:left="340" w:hanging="250"/>
      </w:pPr>
      <w:r>
        <w:rPr>
          <w:rFonts w:ascii="Calibri" w:cs="Calibri" w:eastAsia="Calibri" w:hAnsi="Calibri"/>
          <w:b/>
          <w:bCs/>
          <w:color w:val="CEB684"/>
          <w:sz w:val="19"/>
          <w:szCs w:val="19"/>
        </w:rPr>
        <w:t xml:space="preserve">5.  </w:t>
      </w:r>
      <w:r>
        <w:rPr>
          <w:rFonts w:ascii="Calibri" w:cs="Calibri" w:eastAsia="Calibri" w:hAnsi="Calibri"/>
          <w:color w:val="1E293B"/>
          <w:sz w:val="20"/>
          <w:szCs w:val="20"/>
        </w:rPr>
        <w:t xml:space="preserve">Approve &amp; send delivers it, from the responsible Expert's address on the firm's verified domain, with the supporting document attached. Approve, don't send records the approval and leaves it in the queue.</w:t>
      </w:r>
    </w:p>
    <w:p>
      <w:pPr>
        <w:keepNext/>
        <w:spacing w:after="30" w:before="85"/>
      </w:pPr>
      <w:r>
        <w:rPr>
          <w:rFonts w:ascii="Calibri" w:cs="Calibri" w:eastAsia="Calibri" w:hAnsi="Calibri"/>
          <w:b/>
          <w:bCs/>
          <w:caps/>
          <w:color w:val="5A6E84"/>
          <w:sz w:val="15"/>
          <w:szCs w:val="15"/>
        </w:rPr>
        <w:t xml:space="preserve">Before you move on</w:t>
      </w:r>
    </w:p>
    <w:p>
      <w:pPr>
        <w:pStyle w:val="ListParagraph"/>
        <w:numPr>
          <w:ilvl w:val="0"/>
          <w:numId w:val="2"/>
        </w:numPr>
        <w:spacing w:after="36"/>
      </w:pPr>
      <w:r>
        <w:rPr>
          <w:rFonts w:ascii="Calibri" w:cs="Calibri" w:eastAsia="Calibri" w:hAnsi="Calibri"/>
          <w:color w:val="1E293B"/>
          <w:sz w:val="20"/>
          <w:szCs w:val="20"/>
        </w:rPr>
        <w:t xml:space="preserve">No square brackets left in the body.</w:t>
      </w:r>
    </w:p>
    <w:p>
      <w:pPr>
        <w:pStyle w:val="ListParagraph"/>
        <w:numPr>
          <w:ilvl w:val="0"/>
          <w:numId w:val="2"/>
        </w:numPr>
        <w:spacing w:after="36"/>
      </w:pPr>
      <w:r>
        <w:rPr>
          <w:rFonts w:ascii="Calibri" w:cs="Calibri" w:eastAsia="Calibri" w:hAnsi="Calibri"/>
          <w:color w:val="1E293B"/>
          <w:sz w:val="20"/>
          <w:szCs w:val="20"/>
        </w:rPr>
        <w:t xml:space="preserve">The To line is a real email address. Descriptions like 'Wire Operations' will be refused.</w:t>
      </w:r>
    </w:p>
    <w:p>
      <w:pPr>
        <w:pStyle w:val="ListParagraph"/>
        <w:numPr>
          <w:ilvl w:val="0"/>
          <w:numId w:val="2"/>
        </w:numPr>
        <w:spacing w:after="36"/>
      </w:pPr>
      <w:r>
        <w:rPr>
          <w:rFonts w:ascii="Calibri" w:cs="Calibri" w:eastAsia="Calibri" w:hAnsi="Calibri"/>
          <w:color w:val="1E293B"/>
          <w:sz w:val="20"/>
          <w:szCs w:val="20"/>
        </w:rPr>
        <w:t xml:space="preserve">The figures in the draft match the invoice, not the model's recollection of it.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Recipients are checked against the addresses on file for that household. An unrecognised address stops the send and shows you the exact address, because draft recipients are drawn partly from uploaded documents. Look at it properly before confirming — that confirmation is recorded against the step.</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Approving is not sending. A step that is approved and unsent stays in the review queue reading 'Approved — not sent'.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send that the provider rejects records the reason and leaves the step approved but unsent. It will not look successful.</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Once a message has a delivery reference it cannot be sent again. A double click will not produce a second bank instruction.</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The platform prepares payment instructions. It never moves money. Say this out loud to any client or compliance officer who asks.</w:t>
      </w:r>
    </w:p>
    <w:p>
      <w:pPr>
        <w:keepNext/>
        <w:pBdr>
          <w:bottom w:val="single" w:color="CEB684" w:sz="8"/>
        </w:pBdr>
        <w:spacing w:after="70" w:before="190"/>
      </w:pPr>
      <w:r>
        <w:rPr>
          <w:rFonts w:ascii="Georgia" w:cs="Georgia" w:eastAsia="Georgia" w:hAnsi="Georgia"/>
          <w:b/>
          <w:bCs/>
          <w:color w:val="092B49"/>
          <w:sz w:val="25"/>
          <w:szCs w:val="25"/>
        </w:rPr>
        <w:t xml:space="preserve">10.  The assistant</w:t>
      </w:r>
    </w:p>
    <w:p>
      <w:pPr>
        <w:spacing w:after="80" w:before="0"/>
      </w:pPr>
      <w:r>
        <w:rPr>
          <w:rFonts w:ascii="Calibri" w:cs="Calibri" w:eastAsia="Calibri" w:hAnsi="Calibri"/>
          <w:i/>
          <w:iCs/>
          <w:color w:val="5A6E84"/>
          <w:sz w:val="19"/>
          <w:szCs w:val="19"/>
        </w:rPr>
        <w:t xml:space="preserve">Answers from one household's own records, and cites the document it used.</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Open it from the floating button on any screen. On a firm-wide screen it asks which household first, because it will not answer across relationships.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Ask questions the records can actually answer: what is uninsured, when does this policy lapse, what did we pay last year.</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It reads document contents, not just fields, so an endorsement or a dec page is fair game.</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is scoped to one household and cannot be persuaded otherwise. That is a feature, not a limitation to work around.</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It treats document text as data, never as instruction. If a document contains something that looks like a command, it will not follow it.</w:t>
      </w:r>
    </w:p>
    <w:p>
      <w:pPr>
        <w:keepNext/>
        <w:pBdr>
          <w:bottom w:val="single" w:color="CEB684" w:sz="8"/>
        </w:pBdr>
        <w:spacing w:after="70" w:before="190"/>
      </w:pPr>
      <w:r>
        <w:rPr>
          <w:rFonts w:ascii="Georgia" w:cs="Georgia" w:eastAsia="Georgia" w:hAnsi="Georgia"/>
          <w:b/>
          <w:bCs/>
          <w:color w:val="092B49"/>
          <w:sz w:val="25"/>
          <w:szCs w:val="25"/>
        </w:rPr>
        <w:t xml:space="preserve">11.  Scheduled reports and concierge research</w:t>
      </w:r>
    </w:p>
    <w:p>
      <w:pPr>
        <w:spacing w:after="80" w:before="0"/>
      </w:pPr>
      <w:r>
        <w:rPr>
          <w:rFonts w:ascii="Calibri" w:cs="Calibri" w:eastAsia="Calibri" w:hAnsi="Calibri"/>
          <w:i/>
          <w:iCs/>
          <w:color w:val="5A6E84"/>
          <w:sz w:val="19"/>
          <w:szCs w:val="19"/>
        </w:rPr>
        <w:t xml:space="preserve">Recurring intelligence delivered on a cadence, as a branded PDF, without anyone remembering to run it.</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Create the prompt in Resources, choose its cadence and scope it to a household or the whole book.</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Use Run Now to see exactly what a recipient will get before letting a schedule loose.</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Concierge research searches the live web for something a client asked the firm to watch, and cites its sources.</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Long jobs run in the background, so a multi-minute research run does not time out.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Whether a Partner may run scheduled reports is a per-person permission, off by default.</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failed run records the reason. Check it rather than assuming the schedule is fine.</w:t>
      </w:r>
    </w:p>
    <w:p>
      <w:pPr>
        <w:keepNext/>
        <w:pBdr>
          <w:bottom w:val="single" w:color="CEB684" w:sz="8"/>
        </w:pBdr>
        <w:spacing w:after="70" w:before="190"/>
      </w:pPr>
      <w:r>
        <w:rPr>
          <w:rFonts w:ascii="Georgia" w:cs="Georgia" w:eastAsia="Georgia" w:hAnsi="Georgia"/>
          <w:b/>
          <w:bCs/>
          <w:color w:val="092B49"/>
          <w:sz w:val="25"/>
          <w:szCs w:val="25"/>
        </w:rPr>
        <w:t xml:space="preserve">12.  Tasks and deadlines</w:t>
      </w:r>
    </w:p>
    <w:p>
      <w:pPr>
        <w:spacing w:after="80" w:before="0"/>
      </w:pPr>
      <w:r>
        <w:rPr>
          <w:rFonts w:ascii="Calibri" w:cs="Calibri" w:eastAsia="Calibri" w:hAnsi="Calibri"/>
          <w:i/>
          <w:iCs/>
          <w:color w:val="5A6E84"/>
          <w:sz w:val="19"/>
          <w:szCs w:val="19"/>
        </w:rPr>
        <w:t xml:space="preserve">The things that are not recurring obligations but still cannot be forgotten.</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Record the task against the household with its due date and owner.</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Deadlines surface on the dashboard as they approach, and reminders go out on schedule.</w:t>
      </w:r>
    </w:p>
    <w:p>
      <w:pPr>
        <w:keepNext/>
        <w:pBdr>
          <w:bottom w:val="single" w:color="CEB684" w:sz="8"/>
        </w:pBdr>
        <w:spacing w:after="70" w:before="190"/>
      </w:pPr>
      <w:r>
        <w:rPr>
          <w:rFonts w:ascii="Georgia" w:cs="Georgia" w:eastAsia="Georgia" w:hAnsi="Georgia"/>
          <w:b/>
          <w:bCs/>
          <w:color w:val="092B49"/>
          <w:sz w:val="25"/>
          <w:szCs w:val="25"/>
        </w:rPr>
        <w:t xml:space="preserve">13.  What the household sees</w:t>
      </w:r>
    </w:p>
    <w:p>
      <w:pPr>
        <w:spacing w:after="80" w:before="0"/>
      </w:pPr>
      <w:r>
        <w:rPr>
          <w:rFonts w:ascii="Calibri" w:cs="Calibri" w:eastAsia="Calibri" w:hAnsi="Calibri"/>
          <w:i/>
          <w:iCs/>
          <w:color w:val="5A6E84"/>
          <w:sz w:val="19"/>
          <w:szCs w:val="19"/>
        </w:rPr>
        <w:t xml:space="preserve">The client portal carries your brand and shows a read-only view of what the firm holds.</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Clients see net worth, properties, accounts, valuables and documents for their own household, read-only.</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They can email their own adviser from inside the portal; the primary adviser is always copied. They cannot email other advisers at the firm.</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Bills the firm paid on their behalf are marked paid, with who paid and when.</w:t>
      </w:r>
    </w:p>
    <w:p>
      <w:pPr>
        <w:spacing w:after="36"/>
        <w:ind w:left="340" w:hanging="250"/>
      </w:pPr>
      <w:r>
        <w:rPr>
          <w:rFonts w:ascii="Calibri" w:cs="Calibri" w:eastAsia="Calibri" w:hAnsi="Calibri"/>
          <w:b/>
          <w:bCs/>
          <w:color w:val="CEB684"/>
          <w:sz w:val="19"/>
          <w:szCs w:val="19"/>
        </w:rPr>
        <w:t xml:space="preserve">4.  </w:t>
      </w:r>
      <w:r>
        <w:rPr>
          <w:rFonts w:ascii="Calibri" w:cs="Calibri" w:eastAsia="Calibri" w:hAnsi="Calibri"/>
          <w:color w:val="1E293B"/>
          <w:sz w:val="20"/>
          <w:szCs w:val="20"/>
        </w:rPr>
        <w:t xml:space="preserve">It is mobile responsive throughout — assume a client is looking at it on a phone.</w:t>
      </w:r>
    </w:p>
    <w:p>
      <w:pPr>
        <w:keepNext/>
        <w:pBdr>
          <w:bottom w:val="single" w:color="CEB684" w:sz="8"/>
        </w:pBdr>
        <w:spacing w:after="70" w:before="190"/>
      </w:pPr>
      <w:r>
        <w:rPr>
          <w:rFonts w:ascii="Georgia" w:cs="Georgia" w:eastAsia="Georgia" w:hAnsi="Georgia"/>
          <w:b/>
          <w:bCs/>
          <w:color w:val="092B49"/>
          <w:sz w:val="25"/>
          <w:szCs w:val="25"/>
        </w:rPr>
        <w:t xml:space="preserve">14.  Branding and the firm's identity</w:t>
      </w:r>
    </w:p>
    <w:p>
      <w:pPr>
        <w:spacing w:after="80" w:before="0"/>
      </w:pPr>
      <w:r>
        <w:rPr>
          <w:rFonts w:ascii="Calibri" w:cs="Calibri" w:eastAsia="Calibri" w:hAnsi="Calibri"/>
          <w:i/>
          <w:iCs/>
          <w:color w:val="5A6E84"/>
          <w:sz w:val="19"/>
          <w:szCs w:val="19"/>
        </w:rPr>
        <w:t xml:space="preserve">One platform, many firms. Each supplies its own identity and sends as itself.</w:t>
      </w:r>
    </w:p>
    <w:p>
      <w:pPr>
        <w:keepNext/>
        <w:spacing w:after="30" w:before="85"/>
      </w:pPr>
      <w:r>
        <w:rPr>
          <w:rFonts w:ascii="Calibri" w:cs="Calibri" w:eastAsia="Calibri" w:hAnsi="Calibri"/>
          <w:b/>
          <w:bCs/>
          <w:caps/>
          <w:color w:val="5A6E84"/>
          <w:sz w:val="15"/>
          <w:szCs w:val="15"/>
        </w:rPr>
        <w:t xml:space="preserve">Procedure</w:t>
      </w:r>
    </w:p>
    <w:p>
      <w:pPr>
        <w:spacing w:after="36"/>
        <w:ind w:left="340" w:hanging="250"/>
      </w:pPr>
      <w:r>
        <w:rPr>
          <w:rFonts w:ascii="Calibri" w:cs="Calibri" w:eastAsia="Calibri" w:hAnsi="Calibri"/>
          <w:b/>
          <w:bCs/>
          <w:color w:val="CEB684"/>
          <w:sz w:val="19"/>
          <w:szCs w:val="19"/>
        </w:rPr>
        <w:t xml:space="preserve">1.  </w:t>
      </w:r>
      <w:r>
        <w:rPr>
          <w:rFonts w:ascii="Calibri" w:cs="Calibri" w:eastAsia="Calibri" w:hAnsi="Calibri"/>
          <w:color w:val="1E293B"/>
          <w:sz w:val="20"/>
          <w:szCs w:val="20"/>
        </w:rPr>
        <w:t xml:space="preserve">Brand name, logo, tagline and full colour palette are per firm, and carry through to exported PDFs, print reports, outbound email, link previews and browser icons.</w:t>
      </w:r>
    </w:p>
    <w:p>
      <w:pPr>
        <w:spacing w:after="36"/>
        <w:ind w:left="340" w:hanging="250"/>
      </w:pPr>
      <w:r>
        <w:rPr>
          <w:rFonts w:ascii="Calibri" w:cs="Calibri" w:eastAsia="Calibri" w:hAnsi="Calibri"/>
          <w:b/>
          <w:bCs/>
          <w:color w:val="CEB684"/>
          <w:sz w:val="19"/>
          <w:szCs w:val="19"/>
        </w:rPr>
        <w:t xml:space="preserve">2.  </w:t>
      </w:r>
      <w:r>
        <w:rPr>
          <w:rFonts w:ascii="Calibri" w:cs="Calibri" w:eastAsia="Calibri" w:hAnsi="Calibri"/>
          <w:color w:val="1E293B"/>
          <w:sz w:val="20"/>
          <w:szCs w:val="20"/>
        </w:rPr>
        <w:t xml:space="preserve">The firm's outbound sending domain must be verified with the email provider before any correspondence can be sent. This is enforced, not advisory.</w:t>
      </w:r>
    </w:p>
    <w:p>
      <w:pPr>
        <w:spacing w:after="36"/>
        <w:ind w:left="340" w:hanging="250"/>
      </w:pPr>
      <w:r>
        <w:rPr>
          <w:rFonts w:ascii="Calibri" w:cs="Calibri" w:eastAsia="Calibri" w:hAnsi="Calibri"/>
          <w:b/>
          <w:bCs/>
          <w:color w:val="CEB684"/>
          <w:sz w:val="19"/>
          <w:szCs w:val="19"/>
        </w:rPr>
        <w:t xml:space="preserve">3.  </w:t>
      </w:r>
      <w:r>
        <w:rPr>
          <w:rFonts w:ascii="Calibri" w:cs="Calibri" w:eastAsia="Calibri" w:hAnsi="Calibri"/>
          <w:color w:val="1E293B"/>
          <w:sz w:val="20"/>
          <w:szCs w:val="20"/>
        </w:rPr>
        <w:t xml:space="preserve">Runtime brand switching from the admin screen exists on the demonstration instance and is used for concurrent sales cycles. Production tenants take their brand from their own deployment.</w:t>
      </w:r>
    </w:p>
    <w:p>
      <w:pPr>
        <w:keepNext/>
        <w:spacing w:after="30" w:before="85"/>
      </w:pPr>
      <w:r>
        <w:rPr>
          <w:rFonts w:ascii="Calibri" w:cs="Calibri" w:eastAsia="Calibri" w:hAnsi="Calibri"/>
          <w:b/>
          <w:bCs/>
          <w:caps/>
          <w:color w:val="5A6E84"/>
          <w:sz w:val="15"/>
          <w:szCs w:val="15"/>
        </w:rPr>
        <w:t xml:space="preserve">Traps</w:t>
      </w:r>
    </w:p>
    <w:p>
      <w:pPr>
        <w:pBdr>
          <w:left w:val="single" w:color="E4CE9A" w:sz="18"/>
        </w:pBdr>
        <w:shd w:fill="FBF3E3" w:val="clear"/>
        <w:spacing w:after="70" w:before="60"/>
        <w:ind w:left="200" w:right="120"/>
      </w:pPr>
      <w:r>
        <w:rPr>
          <w:rFonts w:ascii="Calibri" w:cs="Calibri" w:eastAsia="Calibri" w:hAnsi="Calibri"/>
          <w:i/>
          <w:iCs/>
          <w:color w:val="7A5A19"/>
          <w:sz w:val="20"/>
          <w:szCs w:val="20"/>
        </w:rPr>
        <w:t xml:space="preserve">A firm whose sending domain is not verified can draft and approve normally but cannot send. That is the correct state for a firm mid-onboarding, and it is deliberate: an unverified sender bounces or lands in spam, and a bank instruction that silently fails to arrive is the worst outcome available.</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Checklists</w:t>
      </w:r>
    </w:p>
    <w:p>
      <w:pPr>
        <w:spacing w:after="90" w:before="0"/>
      </w:pPr>
      <w:r>
        <w:rPr>
          <w:rFonts w:ascii="Calibri" w:cs="Calibri" w:eastAsia="Calibri" w:hAnsi="Calibri"/>
          <w:color w:val="1E293B"/>
          <w:sz w:val="21"/>
          <w:szCs w:val="21"/>
        </w:rPr>
        <w:t xml:space="preserve">Organised by the moment they are used rather than by capability, because that is when a checklist is reached for. Each points back to the sections that explain the detail.</w:t>
      </w:r>
    </w:p>
    <w:p>
      <w:pPr>
        <w:spacing w:after="45" w:before="130"/>
      </w:pPr>
      <w:r>
        <w:rPr>
          <w:rFonts w:ascii="Calibri" w:cs="Calibri" w:eastAsia="Calibri" w:hAnsi="Calibri"/>
          <w:b/>
          <w:bCs/>
          <w:color w:val="092B49"/>
          <w:sz w:val="19"/>
          <w:szCs w:val="19"/>
        </w:rPr>
        <w:t xml:space="preserve">Onboarding a new household</w:t>
      </w:r>
    </w:p>
    <w:p>
      <w:pPr>
        <w:spacing w:after="30" w:before="0"/>
      </w:pPr>
      <w:r>
        <w:rPr>
          <w:rFonts w:ascii="Calibri" w:cs="Calibri" w:eastAsia="Calibri" w:hAnsi="Calibri"/>
          <w:i/>
          <w:iCs/>
          <w:color w:val="5A6E84"/>
          <w:sz w:val="18"/>
          <w:szCs w:val="18"/>
        </w:rPr>
        <w:t xml:space="preserve">Once, when a household is taken on. Expect it to span more than one sitting.</w:t>
      </w:r>
    </w:p>
    <w:p>
      <w:pPr>
        <w:spacing w:after="60" w:before="0"/>
      </w:pPr>
      <w:r>
        <w:rPr>
          <w:rFonts w:ascii="Calibri" w:cs="Calibri" w:eastAsia="Calibri" w:hAnsi="Calibri"/>
          <w:color w:val="5A6E84"/>
          <w:sz w:val="17"/>
          <w:szCs w:val="17"/>
        </w:rPr>
        <w:t xml:space="preserve">See sections 1, 2, 3, 4, 5, 6 and 8.</w:t>
      </w:r>
    </w:p>
    <w:p>
      <w:pPr>
        <w:keepNext/>
        <w:spacing w:after="30" w:before="85"/>
      </w:pPr>
      <w:r>
        <w:rPr>
          <w:rFonts w:ascii="Calibri" w:cs="Calibri" w:eastAsia="Calibri" w:hAnsi="Calibri"/>
          <w:b/>
          <w:bCs/>
          <w:caps/>
          <w:color w:val="5A6E84"/>
          <w:sz w:val="15"/>
          <w:szCs w:val="15"/>
        </w:rPr>
        <w:t xml:space="preserve">The record itself</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Household created and the responsible Titan Expert set before anything else is added.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Members added, with dates of birth where they matter for planning.</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One member designated PRIMARY with the star.</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primary member has an email address on file.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Professional contacts added: accountant, attorney, banker, insurance broker.</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Contacts the household should be able to email themselves are ticked as such.</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Counterparties recorded — bankers, trustees, carriers, fund administrators — so correspondence to them is recognised rather than queried.</w:t>
            </w:r>
          </w:p>
        </w:tc>
      </w:tr>
    </w:tbl>
    <w:p>
      <w:pPr>
        <w:keepNext/>
        <w:spacing w:after="30" w:before="85"/>
      </w:pPr>
      <w:r>
        <w:rPr>
          <w:rFonts w:ascii="Calibri" w:cs="Calibri" w:eastAsia="Calibri" w:hAnsi="Calibri"/>
          <w:b/>
          <w:bCs/>
          <w:caps/>
          <w:color w:val="5A6E84"/>
          <w:sz w:val="15"/>
          <w:szCs w:val="15"/>
        </w:rPr>
        <w:t xml:space="preserve">Assets and obligations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Properties created with loan, tax, insurance, flood and tenancy detail.</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 document attached to each property section that should have one.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Property vendors recorded with phone and email.</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Portfolio accounts created with institution, type and banker.</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Most recent statement filed against each account and a dated balance recorded, so no account reads "no date on this figure".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Valuables recorded and linked to the schedule covering them; anything uninsured is uninsured deliberately, not by omission.</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Cash flow events entered, including anything the firm pays on the household's behalf.</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Recurring obligations recorded, with their conditional questions answered from the trust document or the client's instruction rather than assumed.</w:t>
            </w:r>
          </w:p>
        </w:tc>
      </w:tr>
    </w:tbl>
    <w:p>
      <w:pPr>
        <w:keepNext/>
        <w:spacing w:after="30" w:before="85"/>
      </w:pPr>
      <w:r>
        <w:rPr>
          <w:rFonts w:ascii="Calibri" w:cs="Calibri" w:eastAsia="Calibri" w:hAnsi="Calibri"/>
          <w:b/>
          <w:bCs/>
          <w:caps/>
          <w:color w:val="5A6E84"/>
          <w:sz w:val="15"/>
          <w:szCs w:val="15"/>
        </w:rPr>
        <w:t xml:space="preserve">Access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Client portal user created for the household and sign-in confirmed.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Partner grants set for any outside adviser who needs sight of this household.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Signed in as the responsible Expert and confirmed this household appears and no other Expert's client does.</w:t>
            </w:r>
          </w:p>
        </w:tc>
      </w:tr>
    </w:tbl>
    <w:p>
      <w:pPr>
        <w:spacing w:after="45" w:before="130"/>
      </w:pPr>
      <w:r>
        <w:rPr>
          <w:rFonts w:ascii="Calibri" w:cs="Calibri" w:eastAsia="Calibri" w:hAnsi="Calibri"/>
          <w:b/>
          <w:bCs/>
          <w:color w:val="092B49"/>
          <w:sz w:val="19"/>
          <w:szCs w:val="19"/>
        </w:rPr>
        <w:t xml:space="preserve">Quarterly statement cycle</w:t>
      </w:r>
    </w:p>
    <w:p>
      <w:pPr>
        <w:spacing w:after="30" w:before="0"/>
      </w:pPr>
      <w:r>
        <w:rPr>
          <w:rFonts w:ascii="Calibri" w:cs="Calibri" w:eastAsia="Calibri" w:hAnsi="Calibri"/>
          <w:i/>
          <w:iCs/>
          <w:color w:val="5A6E84"/>
          <w:sz w:val="18"/>
          <w:szCs w:val="18"/>
        </w:rPr>
        <w:t xml:space="preserve">Every reporting period, per account. The single most repeated task in the platform.</w:t>
      </w:r>
    </w:p>
    <w:p>
      <w:pPr>
        <w:spacing w:after="60" w:before="0"/>
      </w:pPr>
      <w:r>
        <w:rPr>
          <w:rFonts w:ascii="Calibri" w:cs="Calibri" w:eastAsia="Calibri" w:hAnsi="Calibri"/>
          <w:color w:val="5A6E84"/>
          <w:sz w:val="17"/>
          <w:szCs w:val="17"/>
        </w:rPr>
        <w:t xml:space="preserve">See sections 4 and 7.</w:t>
      </w:r>
    </w:p>
    <w:p>
      <w:pPr>
        <w:keepNext/>
        <w:spacing w:after="30" w:before="85"/>
      </w:pPr>
      <w:r>
        <w:rPr>
          <w:rFonts w:ascii="Calibri" w:cs="Calibri" w:eastAsia="Calibri" w:hAnsi="Calibri"/>
          <w:b/>
          <w:bCs/>
          <w:caps/>
          <w:color w:val="5A6E84"/>
          <w:sz w:val="15"/>
          <w:szCs w:val="15"/>
        </w:rPr>
        <w:t xml:space="preserve">Per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Statement obtained for the period.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Filed to the Vault against the account, with the period labelled the way the firm labels it.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Proposed closing balance checked against the statement, not accepted on sight.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Proposed period end date checked — a wrong date attaches the figure to the wrong quarter.</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Difference against the previous figure reviewed, and explainable if someone asks.</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Balance recorded, and the account header now shows a date.</w:t>
            </w:r>
          </w:p>
        </w:tc>
      </w:tr>
    </w:tbl>
    <w:p>
      <w:pPr>
        <w:keepNext/>
        <w:spacing w:after="30" w:before="85"/>
      </w:pPr>
      <w:r>
        <w:rPr>
          <w:rFonts w:ascii="Calibri" w:cs="Calibri" w:eastAsia="Calibri" w:hAnsi="Calibri"/>
          <w:b/>
          <w:bCs/>
          <w:caps/>
          <w:color w:val="5A6E84"/>
          <w:sz w:val="15"/>
          <w:szCs w:val="15"/>
        </w:rPr>
        <w:t xml:space="preserve">Watch for</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 consolidated statement covering several accounts: enter each account's own figure. Never the total.</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 restated statement for a period already recorded: record it and let it replace the earlier figure.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Accounts with no statement this period: noted, and the institution chased.</w:t>
            </w:r>
          </w:p>
        </w:tc>
      </w:tr>
    </w:tbl>
    <w:p>
      <w:pPr>
        <w:spacing w:after="45" w:before="130"/>
      </w:pPr>
      <w:r>
        <w:rPr>
          <w:rFonts w:ascii="Calibri" w:cs="Calibri" w:eastAsia="Calibri" w:hAnsi="Calibri"/>
          <w:b/>
          <w:bCs/>
          <w:color w:val="092B49"/>
          <w:sz w:val="19"/>
          <w:szCs w:val="19"/>
        </w:rPr>
        <w:t xml:space="preserve">Starting an obligation cycle</w:t>
      </w:r>
    </w:p>
    <w:p>
      <w:pPr>
        <w:spacing w:after="30" w:before="0"/>
      </w:pPr>
      <w:r>
        <w:rPr>
          <w:rFonts w:ascii="Calibri" w:cs="Calibri" w:eastAsia="Calibri" w:hAnsi="Calibri"/>
          <w:i/>
          <w:iCs/>
          <w:color w:val="5A6E84"/>
          <w:sz w:val="18"/>
          <w:szCs w:val="18"/>
        </w:rPr>
        <w:t xml:space="preserve">Each time a recurring commitment comes round.</w:t>
      </w:r>
    </w:p>
    <w:p>
      <w:pPr>
        <w:spacing w:after="60" w:before="0"/>
      </w:pPr>
      <w:r>
        <w:rPr>
          <w:rFonts w:ascii="Calibri" w:cs="Calibri" w:eastAsia="Calibri" w:hAnsi="Calibri"/>
          <w:color w:val="5A6E84"/>
          <w:sz w:val="17"/>
          <w:szCs w:val="17"/>
        </w:rPr>
        <w:t xml:space="preserve">See section 8.</w:t>
      </w:r>
    </w:p>
    <w:p>
      <w:pPr>
        <w:keepNext/>
        <w:spacing w:after="30" w:before="85"/>
      </w:pPr>
      <w:r>
        <w:rPr>
          <w:rFonts w:ascii="Calibri" w:cs="Calibri" w:eastAsia="Calibri" w:hAnsi="Calibri"/>
          <w:b/>
          <w:bCs/>
          <w:caps/>
          <w:color w:val="5A6E84"/>
          <w:sz w:val="15"/>
          <w:szCs w:val="15"/>
        </w:rPr>
        <w:t xml:space="preserve">Before starting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Playbook read in Resources if this is the first time running it.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Counsel has confirmed the lead times for this jurisdiction, on first use of the playbook.</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Amount and due date verified against the source document, not last year's figures.</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Reference number and counterparty recorded, since they go on the outbound paperwork.</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Funding accounts set — where money comes from and where it goes.</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Conditional questions answered from the trust document or the client's written instruction.</w:t>
            </w:r>
          </w:p>
        </w:tc>
      </w:tr>
    </w:tbl>
    <w:p>
      <w:pPr>
        <w:keepNext/>
        <w:spacing w:after="30" w:before="85"/>
      </w:pPr>
      <w:r>
        <w:rPr>
          <w:rFonts w:ascii="Calibri" w:cs="Calibri" w:eastAsia="Calibri" w:hAnsi="Calibri"/>
          <w:b/>
          <w:bCs/>
          <w:caps/>
          <w:color w:val="5A6E84"/>
          <w:sz w:val="15"/>
          <w:szCs w:val="15"/>
        </w:rPr>
        <w:t xml:space="preserve">After starting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Dates reviewed against a real calendar, not just accepted.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If the cycle flagged itself at risk, the named slipped step dealt with first, before working through the list.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Steps marked not required are genuinely not required for this household.</w:t>
            </w:r>
          </w:p>
        </w:tc>
      </w:tr>
    </w:tbl>
    <w:p>
      <w:pPr>
        <w:spacing w:after="45" w:before="130"/>
      </w:pPr>
      <w:r>
        <w:rPr>
          <w:rFonts w:ascii="Calibri" w:cs="Calibri" w:eastAsia="Calibri" w:hAnsi="Calibri"/>
          <w:b/>
          <w:bCs/>
          <w:color w:val="092B49"/>
          <w:sz w:val="19"/>
          <w:szCs w:val="19"/>
        </w:rPr>
        <w:t xml:space="preserve">Before approving and sending correspondence</w:t>
      </w:r>
    </w:p>
    <w:p>
      <w:pPr>
        <w:spacing w:after="30" w:before="0"/>
      </w:pPr>
      <w:r>
        <w:rPr>
          <w:rFonts w:ascii="Calibri" w:cs="Calibri" w:eastAsia="Calibri" w:hAnsi="Calibri"/>
          <w:i/>
          <w:iCs/>
          <w:color w:val="5A6E84"/>
          <w:sz w:val="18"/>
          <w:szCs w:val="18"/>
        </w:rPr>
        <w:t xml:space="preserve">Every single outbound item. No exceptions, including routine ones.</w:t>
      </w:r>
    </w:p>
    <w:p>
      <w:pPr>
        <w:spacing w:after="60" w:before="0"/>
      </w:pPr>
      <w:r>
        <w:rPr>
          <w:rFonts w:ascii="Calibri" w:cs="Calibri" w:eastAsia="Calibri" w:hAnsi="Calibri"/>
          <w:color w:val="5A6E84"/>
          <w:sz w:val="17"/>
          <w:szCs w:val="17"/>
        </w:rPr>
        <w:t xml:space="preserve">See sections 2 and 9.</w:t>
      </w:r>
    </w:p>
    <w:p>
      <w:pPr>
        <w:keepNext/>
        <w:spacing w:after="30" w:before="85"/>
      </w:pPr>
      <w:r>
        <w:rPr>
          <w:rFonts w:ascii="Calibri" w:cs="Calibri" w:eastAsia="Calibri" w:hAnsi="Calibri"/>
          <w:b/>
          <w:bCs/>
          <w:caps/>
          <w:color w:val="5A6E84"/>
          <w:sz w:val="15"/>
          <w:szCs w:val="15"/>
        </w:rPr>
        <w:t xml:space="preserve">Read the draft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Read in full. Not skimmed.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No square-bracketed placeholders remain anywhere in the body.</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Every figure matches the source document. Check the document, not the draft's account of it.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Policy, account and reference numbers match the record.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genre is right for the recipient — an instruction to a bank should not read like a note to a colleague.</w:t>
            </w:r>
          </w:p>
        </w:tc>
      </w:tr>
    </w:tbl>
    <w:p>
      <w:pPr>
        <w:keepNext/>
        <w:spacing w:after="30" w:before="85"/>
      </w:pPr>
      <w:r>
        <w:rPr>
          <w:rFonts w:ascii="Calibri" w:cs="Calibri" w:eastAsia="Calibri" w:hAnsi="Calibri"/>
          <w:b/>
          <w:bCs/>
          <w:caps/>
          <w:color w:val="5A6E84"/>
          <w:sz w:val="15"/>
          <w:szCs w:val="15"/>
        </w:rPr>
        <w:t xml:space="preserve">Check the envelope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To line is a real email address, not a description like "Wire Operations".</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recipient is someone the firm holds an address for. If the platform flags it as unrecognised, verify the address independently — not from the document that produced it — before confirming.</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household's primary contact is copied, or correctly suppressed because they are the addressee.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attachment is present and is the right document.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You are the right person to approve this and have the authority to do so.</w:t>
            </w:r>
          </w:p>
        </w:tc>
      </w:tr>
    </w:tbl>
    <w:p>
      <w:pPr>
        <w:keepNext/>
        <w:spacing w:after="30" w:before="85"/>
      </w:pPr>
      <w:r>
        <w:rPr>
          <w:rFonts w:ascii="Calibri" w:cs="Calibri" w:eastAsia="Calibri" w:hAnsi="Calibri"/>
          <w:b/>
          <w:bCs/>
          <w:caps/>
          <w:color w:val="5A6E84"/>
          <w:sz w:val="15"/>
          <w:szCs w:val="15"/>
        </w:rPr>
        <w:t xml:space="preserve">After sending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 step reads Sent and carries a delivery reference.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If the send failed, the reason is read and dealt with. The step stays outstanding until it is.</w:t>
            </w:r>
          </w:p>
        </w:tc>
      </w:tr>
    </w:tbl>
    <w:p>
      <w:pPr>
        <w:spacing w:after="45" w:before="130"/>
      </w:pPr>
      <w:r>
        <w:rPr>
          <w:rFonts w:ascii="Calibri" w:cs="Calibri" w:eastAsia="Calibri" w:hAnsi="Calibri"/>
          <w:b/>
          <w:bCs/>
          <w:color w:val="092B49"/>
          <w:sz w:val="19"/>
          <w:szCs w:val="19"/>
        </w:rPr>
        <w:t xml:space="preserve">Monthly book review</w:t>
      </w:r>
    </w:p>
    <w:p>
      <w:pPr>
        <w:spacing w:after="30" w:before="0"/>
      </w:pPr>
      <w:r>
        <w:rPr>
          <w:rFonts w:ascii="Calibri" w:cs="Calibri" w:eastAsia="Calibri" w:hAnsi="Calibri"/>
          <w:i/>
          <w:iCs/>
          <w:color w:val="5A6E84"/>
          <w:sz w:val="18"/>
          <w:szCs w:val="18"/>
        </w:rPr>
        <w:t xml:space="preserve">Monthly, per Titan Expert, across their whole book.</w:t>
      </w:r>
    </w:p>
    <w:p>
      <w:pPr>
        <w:spacing w:after="60" w:before="0"/>
      </w:pPr>
      <w:r>
        <w:rPr>
          <w:rFonts w:ascii="Calibri" w:cs="Calibri" w:eastAsia="Calibri" w:hAnsi="Calibri"/>
          <w:color w:val="5A6E84"/>
          <w:sz w:val="17"/>
          <w:szCs w:val="17"/>
        </w:rPr>
        <w:t xml:space="preserve">See sections 8, 9, 11 and 12.</w:t>
      </w:r>
    </w:p>
    <w:p>
      <w:pPr>
        <w:keepNext/>
        <w:spacing w:after="30" w:before="85"/>
      </w:pPr>
      <w:r>
        <w:rPr>
          <w:rFonts w:ascii="Calibri" w:cs="Calibri" w:eastAsia="Calibri" w:hAnsi="Calibri"/>
          <w:b/>
          <w:bCs/>
          <w:caps/>
          <w:color w:val="5A6E84"/>
          <w:sz w:val="15"/>
          <w:szCs w:val="15"/>
        </w:rPr>
        <w:t xml:space="preserve">The queue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Review queue is empty, or every item in it has an owner and a date.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Anything reading "Approved — not sent" has been chased. Approval is not completion.</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Failed sends investigated rather than left sitting.</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At-risk cycles addressed.</w:t>
            </w:r>
          </w:p>
        </w:tc>
      </w:tr>
    </w:tbl>
    <w:p>
      <w:pPr>
        <w:keepNext/>
        <w:spacing w:after="30" w:before="85"/>
      </w:pPr>
      <w:r>
        <w:rPr>
          <w:rFonts w:ascii="Calibri" w:cs="Calibri" w:eastAsia="Calibri" w:hAnsi="Calibri"/>
          <w:b/>
          <w:bCs/>
          <w:caps/>
          <w:color w:val="5A6E84"/>
          <w:sz w:val="15"/>
          <w:szCs w:val="15"/>
        </w:rPr>
        <w:t xml:space="preserve">Looking ahead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Deadlines within the next sixty days reviewed.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Obligations due next quarter have their cycles started, or a reason they have not.</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Scheduled reports ran as expected; any failure read.</w:t>
            </w:r>
          </w:p>
        </w:tc>
      </w:tr>
    </w:tbl>
    <w:p>
      <w:pPr>
        <w:spacing w:after="45" w:before="130"/>
      </w:pPr>
      <w:r>
        <w:rPr>
          <w:rFonts w:ascii="Calibri" w:cs="Calibri" w:eastAsia="Calibri" w:hAnsi="Calibri"/>
          <w:b/>
          <w:bCs/>
          <w:color w:val="092B49"/>
          <w:sz w:val="19"/>
          <w:szCs w:val="19"/>
        </w:rPr>
        <w:t xml:space="preserve">Data hygiene audit</w:t>
      </w:r>
    </w:p>
    <w:p>
      <w:pPr>
        <w:spacing w:after="30" w:before="0"/>
      </w:pPr>
      <w:r>
        <w:rPr>
          <w:rFonts w:ascii="Calibri" w:cs="Calibri" w:eastAsia="Calibri" w:hAnsi="Calibri"/>
          <w:i/>
          <w:iCs/>
          <w:color w:val="5A6E84"/>
          <w:sz w:val="18"/>
          <w:szCs w:val="18"/>
        </w:rPr>
        <w:t xml:space="preserve">Quarterly, firm-wide. This is the one that keeps the rest working.</w:t>
      </w:r>
    </w:p>
    <w:p>
      <w:pPr>
        <w:spacing w:after="60" w:before="0"/>
      </w:pPr>
      <w:r>
        <w:rPr>
          <w:rFonts w:ascii="Calibri" w:cs="Calibri" w:eastAsia="Calibri" w:hAnsi="Calibri"/>
          <w:color w:val="5A6E84"/>
          <w:sz w:val="17"/>
          <w:szCs w:val="17"/>
        </w:rPr>
        <w:t xml:space="preserve">See sections 1, 2, 4, 5, 7 and 14.</w:t>
      </w:r>
    </w:p>
    <w:p>
      <w:pPr>
        <w:keepNext/>
        <w:spacing w:after="30" w:before="85"/>
      </w:pPr>
      <w:r>
        <w:rPr>
          <w:rFonts w:ascii="Calibri" w:cs="Calibri" w:eastAsia="Calibri" w:hAnsi="Calibri"/>
          <w:b/>
          <w:bCs/>
          <w:caps/>
          <w:color w:val="5A6E84"/>
          <w:sz w:val="15"/>
          <w:szCs w:val="15"/>
        </w:rPr>
        <w:t xml:space="preserve">Gaps that break things silently</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Every household has a designated primary contact with an email address. Without one, correspondence goes out copying nobody.</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Every Titan Expert's email address sits on the firm's verified sending domain. An address off it cannot send.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No portfolio account reads "no date on this figure".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No account's most recent balance is more than one reporting period old.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Counterparty addresses are current, so sends are not stopped by unrecognised recipients.</w:t>
            </w:r>
          </w:p>
        </w:tc>
      </w:tr>
    </w:tbl>
    <w:p>
      <w:pPr>
        <w:keepNext/>
        <w:spacing w:after="30" w:before="85"/>
      </w:pPr>
      <w:r>
        <w:rPr>
          <w:rFonts w:ascii="Calibri" w:cs="Calibri" w:eastAsia="Calibri" w:hAnsi="Calibri"/>
          <w:b/>
          <w:bCs/>
          <w:caps/>
          <w:color w:val="5A6E84"/>
          <w:sz w:val="15"/>
          <w:szCs w:val="15"/>
        </w:rPr>
        <w:t xml:space="preserve">Quieter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Documents sitting in the Vault's "Other" folder reviewed and recategorised.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Valuables still showing "Not scheduled" are deliberately uninsured, and the client knows.</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Property sections with no document attached chased.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Partner grants still appropriate — people change roles and firms.</w:t>
            </w:r>
          </w:p>
        </w:tc>
      </w:tr>
    </w:tbl>
    <w:p>
      <w:pPr>
        <w:spacing w:after="45" w:before="130"/>
      </w:pPr>
      <w:r>
        <w:rPr>
          <w:rFonts w:ascii="Calibri" w:cs="Calibri" w:eastAsia="Calibri" w:hAnsi="Calibri"/>
          <w:b/>
          <w:bCs/>
          <w:color w:val="092B49"/>
          <w:sz w:val="19"/>
          <w:szCs w:val="19"/>
        </w:rPr>
        <w:t xml:space="preserve">Removing access</w:t>
      </w:r>
    </w:p>
    <w:p>
      <w:pPr>
        <w:spacing w:after="30" w:before="0"/>
      </w:pPr>
      <w:r>
        <w:rPr>
          <w:rFonts w:ascii="Calibri" w:cs="Calibri" w:eastAsia="Calibri" w:hAnsi="Calibri"/>
          <w:i/>
          <w:iCs/>
          <w:color w:val="5A6E84"/>
          <w:sz w:val="18"/>
          <w:szCs w:val="18"/>
        </w:rPr>
        <w:t xml:space="preserve">When a staff member leaves, a partner relationship ends, or a household departs.</w:t>
      </w:r>
    </w:p>
    <w:p>
      <w:pPr>
        <w:spacing w:after="60" w:before="0"/>
      </w:pPr>
      <w:r>
        <w:rPr>
          <w:rFonts w:ascii="Calibri" w:cs="Calibri" w:eastAsia="Calibri" w:hAnsi="Calibri"/>
          <w:color w:val="5A6E84"/>
          <w:sz w:val="17"/>
          <w:szCs w:val="17"/>
        </w:rPr>
        <w:t xml:space="preserve">See section 1.</w:t>
      </w:r>
    </w:p>
    <w:p>
      <w:pPr>
        <w:keepNext/>
        <w:spacing w:after="30" w:before="85"/>
      </w:pPr>
      <w:r>
        <w:rPr>
          <w:rFonts w:ascii="Calibri" w:cs="Calibri" w:eastAsia="Calibri" w:hAnsi="Calibri"/>
          <w:b/>
          <w:bCs/>
          <w:caps/>
          <w:color w:val="5A6E84"/>
          <w:sz w:val="15"/>
          <w:szCs w:val="15"/>
        </w:rPr>
        <w:t xml:space="preserve">A staff member or partner</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Role removed or set inactive.</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Partner grants revoked household by household.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Their households reassigned to another Expert — this also changes who correspondence is sent from.</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Scheduled reports they owned reassigned, or they stop running.</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Understood that documents they uploaded remain. Those belong to the household, not the uploader.</w:t>
            </w:r>
          </w:p>
        </w:tc>
      </w:tr>
    </w:tbl>
    <w:p>
      <w:pPr>
        <w:keepNext/>
        <w:spacing w:after="30" w:before="85"/>
      </w:pPr>
      <w:r>
        <w:rPr>
          <w:rFonts w:ascii="Calibri" w:cs="Calibri" w:eastAsia="Calibri" w:hAnsi="Calibri"/>
          <w:b/>
          <w:bCs/>
          <w:caps/>
          <w:color w:val="5A6E84"/>
          <w:sz w:val="15"/>
          <w:szCs w:val="15"/>
        </w:rPr>
        <w:t xml:space="preserve">A departing household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60"/>
        <w:gridCol w:w="9980"/>
      </w:tblGrid>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Active obligation cycles closed or transferred, with a note of where they stand.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Portal access removed.</w:t>
            </w:r>
          </w:p>
        </w:tc>
      </w:tr>
      <w:tr>
        <w:tc>
          <w:tcPr>
            <w:tcW w:type="dxa" w:w="260"/>
            <w:tcBorders>
              <w:top w:val="single" w:color="D8CDB8" w:sz="4"/>
              <w:left w:val="single" w:color="D8CDB8" w:sz="4"/>
              <w:bottom w:val="single" w:color="D8CDB8" w:sz="4"/>
              <w:right w:val="single" w:color="D8CDB8" w:sz="4"/>
            </w:tcBorders>
            <w:tcMar>
              <w:top w:type="dxa" w:w="40"/>
              <w:left w:type="dxa" w:w="40"/>
              <w:bottom w:type="dxa" w:w="40"/>
              <w:right w:type="dxa" w:w="40"/>
            </w:tcMar>
          </w:tcPr>
          <w:p>
            <w:pPr>
              <w:spacing w:after="0"/>
            </w:pPr>
            <w:r>
              <w:rPr>
                <w:sz w:val="18"/>
                <w:szCs w:val="18"/>
              </w:rPr>
              <w:t xml:space="preserve"/>
            </w:r>
          </w:p>
        </w:tc>
        <w:tc>
          <w:tcPr>
            <w:tcW w:type="dxa" w:w="9980"/>
            <w:tcBorders>
              <w:top w:val="none"/>
              <w:left w:val="none"/>
              <w:bottom w:val="none"/>
              <w:right w:val="none"/>
            </w:tcBorders>
            <w:tcMar>
              <w:top w:type="dxa" w:w="40"/>
              <w:left w:type="dxa" w:w="130"/>
              <w:bottom w:type="dxa" w:w="40"/>
              <w:right w:type="dxa" w:w="60"/>
            </w:tcMar>
          </w:tcPr>
          <w:p>
            <w:pPr>
              <w:spacing w:after="0"/>
            </w:pPr>
            <w:r>
              <w:rPr>
                <w:rFonts w:ascii="Calibri" w:cs="Calibri" w:eastAsia="Calibri" w:hAnsi="Calibri"/>
                <w:color w:val="1E293B"/>
                <w:sz w:val="19"/>
                <w:szCs w:val="19"/>
              </w:rPr>
              <w:t xml:space="preserve">Records retained per the firm's retention policy rather than deleted on instinct.</w:t>
            </w:r>
          </w:p>
        </w:tc>
      </w:tr>
    </w:tbl>
    <w:p>
      <w:r>
        <w:br w:type="page"/>
      </w:r>
    </w:p>
    <w:p>
      <w:pPr>
        <w:keepNext/>
        <w:pBdr>
          <w:bottom w:val="single" w:color="CEB684" w:sz="8"/>
        </w:pBdr>
        <w:spacing w:after="70" w:before="190"/>
      </w:pPr>
      <w:r>
        <w:rPr>
          <w:rFonts w:ascii="Georgia" w:cs="Georgia" w:eastAsia="Georgia" w:hAnsi="Georgia"/>
          <w:b/>
          <w:bCs/>
          <w:color w:val="092B49"/>
          <w:sz w:val="25"/>
          <w:szCs w:val="25"/>
        </w:rPr>
        <w:t xml:space="preserve">Standing rules</w:t>
      </w:r>
    </w:p>
    <w:p>
      <w:pPr>
        <w:spacing w:after="110" w:before="0"/>
      </w:pPr>
      <w:r>
        <w:rPr>
          <w:rFonts w:ascii="Calibri" w:cs="Calibri" w:eastAsia="Calibri" w:hAnsi="Calibri"/>
          <w:color w:val="1E293B"/>
          <w:sz w:val="21"/>
          <w:szCs w:val="21"/>
        </w:rPr>
        <w:t xml:space="preserve">These hold across every capability above. They are the answers to the questions a compliance officer asks.</w:t>
      </w:r>
    </w:p>
    <w:p>
      <w:pPr>
        <w:pStyle w:val="ListParagraph"/>
        <w:numPr>
          <w:ilvl w:val="0"/>
          <w:numId w:val="2"/>
        </w:numPr>
        <w:spacing w:after="36"/>
      </w:pPr>
      <w:r>
        <w:rPr>
          <w:rFonts w:ascii="Calibri" w:cs="Calibri" w:eastAsia="Calibri" w:hAnsi="Calibri"/>
          <w:color w:val="1E293B"/>
          <w:sz w:val="20"/>
          <w:szCs w:val="20"/>
        </w:rPr>
        <w:t xml:space="preserve">Nothing leaves the platform without a named person approving it. Approval and sending are separate acts and both are attributed.</w:t>
      </w:r>
    </w:p>
    <w:p>
      <w:pPr>
        <w:pStyle w:val="ListParagraph"/>
        <w:numPr>
          <w:ilvl w:val="0"/>
          <w:numId w:val="2"/>
        </w:numPr>
        <w:spacing w:after="36"/>
      </w:pPr>
      <w:r>
        <w:rPr>
          <w:rFonts w:ascii="Calibri" w:cs="Calibri" w:eastAsia="Calibri" w:hAnsi="Calibri"/>
          <w:color w:val="1E293B"/>
          <w:sz w:val="20"/>
          <w:szCs w:val="20"/>
        </w:rPr>
        <w:t xml:space="preserve">The platform prepares payment instructions. It never moves money.</w:t>
      </w:r>
    </w:p>
    <w:p>
      <w:pPr>
        <w:pStyle w:val="ListParagraph"/>
        <w:numPr>
          <w:ilvl w:val="0"/>
          <w:numId w:val="2"/>
        </w:numPr>
        <w:spacing w:after="36"/>
      </w:pPr>
      <w:r>
        <w:rPr>
          <w:rFonts w:ascii="Calibri" w:cs="Calibri" w:eastAsia="Calibri" w:hAnsi="Calibri"/>
          <w:color w:val="1E293B"/>
          <w:sz w:val="20"/>
          <w:szCs w:val="20"/>
        </w:rPr>
        <w:t xml:space="preserve">"Sent" means an email provider accepted the message and returned a reference. A failure is recorded as a failure and the work stays outstanding.</w:t>
      </w:r>
    </w:p>
    <w:p>
      <w:pPr>
        <w:pStyle w:val="ListParagraph"/>
        <w:numPr>
          <w:ilvl w:val="0"/>
          <w:numId w:val="2"/>
        </w:numPr>
        <w:spacing w:after="36"/>
      </w:pPr>
      <w:r>
        <w:rPr>
          <w:rFonts w:ascii="Calibri" w:cs="Calibri" w:eastAsia="Calibri" w:hAnsi="Calibri"/>
          <w:color w:val="1E293B"/>
          <w:sz w:val="20"/>
          <w:szCs w:val="20"/>
        </w:rPr>
        <w:t xml:space="preserve">A figure the platform could not establish is left as a marked placeholder. It is never guessed.</w:t>
      </w:r>
    </w:p>
    <w:p>
      <w:pPr>
        <w:pStyle w:val="ListParagraph"/>
        <w:numPr>
          <w:ilvl w:val="0"/>
          <w:numId w:val="2"/>
        </w:numPr>
        <w:spacing w:after="36"/>
      </w:pPr>
      <w:r>
        <w:rPr>
          <w:rFonts w:ascii="Calibri" w:cs="Calibri" w:eastAsia="Calibri" w:hAnsi="Calibri"/>
          <w:color w:val="1E293B"/>
          <w:sz w:val="20"/>
          <w:szCs w:val="20"/>
        </w:rPr>
        <w:t xml:space="preserve">Document text is treated as data, never as instruction — including when a document appears to contain one.</w:t>
      </w:r>
    </w:p>
    <w:p>
      <w:pPr>
        <w:pStyle w:val="ListParagraph"/>
        <w:numPr>
          <w:ilvl w:val="0"/>
          <w:numId w:val="2"/>
        </w:numPr>
        <w:spacing w:after="36"/>
      </w:pPr>
      <w:r>
        <w:rPr>
          <w:rFonts w:ascii="Calibri" w:cs="Calibri" w:eastAsia="Calibri" w:hAnsi="Calibri"/>
          <w:color w:val="1E293B"/>
          <w:sz w:val="20"/>
          <w:szCs w:val="20"/>
        </w:rPr>
        <w:t xml:space="preserve">Recipients are checked against the addresses held for that household. An unrecognised address stops the send and the override is recorded.</w:t>
      </w:r>
    </w:p>
    <w:p>
      <w:pPr>
        <w:pStyle w:val="ListParagraph"/>
        <w:numPr>
          <w:ilvl w:val="0"/>
          <w:numId w:val="2"/>
        </w:numPr>
        <w:spacing w:after="36"/>
      </w:pPr>
      <w:r>
        <w:rPr>
          <w:rFonts w:ascii="Calibri" w:cs="Calibri" w:eastAsia="Calibri" w:hAnsi="Calibri"/>
          <w:color w:val="1E293B"/>
          <w:sz w:val="20"/>
          <w:szCs w:val="20"/>
        </w:rPr>
        <w:t xml:space="preserve">Access rules are enforced inside the database, so they hold even if the application layer is bypassed.</w:t>
      </w:r>
    </w:p>
    <w:p>
      <w:pPr>
        <w:pStyle w:val="ListParagraph"/>
        <w:numPr>
          <w:ilvl w:val="0"/>
          <w:numId w:val="2"/>
        </w:numPr>
        <w:spacing w:after="36"/>
      </w:pPr>
      <w:r>
        <w:rPr>
          <w:rFonts w:ascii="Calibri" w:cs="Calibri" w:eastAsia="Calibri" w:hAnsi="Calibri"/>
          <w:color w:val="1E293B"/>
          <w:sz w:val="20"/>
          <w:szCs w:val="20"/>
        </w:rPr>
        <w:t xml:space="preserve">Playbook lead times are a starting point, not advice. Counsel confirms them per jurisdiction before a playbook runs against a real household.</w:t>
      </w:r>
    </w:p>
    <w:p>
      <w:pPr>
        <w:keepNext/>
        <w:pBdr>
          <w:bottom w:val="single" w:color="CEB684" w:sz="8"/>
        </w:pBdr>
        <w:spacing w:after="70" w:before="190"/>
      </w:pPr>
      <w:r>
        <w:rPr>
          <w:rFonts w:ascii="Georgia" w:cs="Georgia" w:eastAsia="Georgia" w:hAnsi="Georgia"/>
          <w:b/>
          <w:bCs/>
          <w:color w:val="092B49"/>
          <w:sz w:val="25"/>
          <w:szCs w:val="25"/>
        </w:rPr>
        <w:t xml:space="preserve">Known limitations</w:t>
      </w:r>
    </w:p>
    <w:p>
      <w:pPr>
        <w:spacing w:after="100" w:before="0"/>
      </w:pPr>
      <w:r>
        <w:rPr>
          <w:rFonts w:ascii="Calibri" w:cs="Calibri" w:eastAsia="Calibri" w:hAnsi="Calibri"/>
          <w:color w:val="1E293B"/>
          <w:sz w:val="21"/>
          <w:szCs w:val="21"/>
        </w:rPr>
        <w:t xml:space="preserve">Name these before a client or a prospect finds them.</w:t>
      </w:r>
    </w:p>
    <w:p>
      <w:pPr>
        <w:pStyle w:val="ListParagraph"/>
        <w:numPr>
          <w:ilvl w:val="0"/>
          <w:numId w:val="2"/>
        </w:numPr>
        <w:spacing w:after="36"/>
      </w:pPr>
      <w:r>
        <w:rPr>
          <w:rFonts w:ascii="Calibri" w:cs="Calibri" w:eastAsia="Calibri" w:hAnsi="Calibri"/>
          <w:color w:val="1E293B"/>
          <w:sz w:val="20"/>
          <w:szCs w:val="20"/>
        </w:rPr>
        <w:t xml:space="preserve">Delivery is not confirmed. The platform records that a provider accepted a message, which is not the same as it arriving. A bounced item would currently sit looking sent.</w:t>
      </w:r>
    </w:p>
    <w:p>
      <w:pPr>
        <w:pStyle w:val="ListParagraph"/>
        <w:numPr>
          <w:ilvl w:val="0"/>
          <w:numId w:val="2"/>
        </w:numPr>
        <w:spacing w:after="36"/>
      </w:pPr>
      <w:r>
        <w:rPr>
          <w:rFonts w:ascii="Calibri" w:cs="Calibri" w:eastAsia="Calibri" w:hAnsi="Calibri"/>
          <w:color w:val="1E293B"/>
          <w:sz w:val="20"/>
          <w:szCs w:val="20"/>
        </w:rPr>
        <w:t xml:space="preserve">Chasing is on a fixed cadence rather than repeating until a document arrives, so K-1 collection uses scheduled follow-ups an adviser skips when not needed.</w:t>
      </w:r>
    </w:p>
    <w:p>
      <w:pPr>
        <w:pStyle w:val="ListParagraph"/>
        <w:numPr>
          <w:ilvl w:val="0"/>
          <w:numId w:val="2"/>
        </w:numPr>
        <w:spacing w:after="36"/>
      </w:pPr>
      <w:r>
        <w:rPr>
          <w:rFonts w:ascii="Calibri" w:cs="Calibri" w:eastAsia="Calibri" w:hAnsi="Calibri"/>
          <w:color w:val="1E293B"/>
          <w:sz w:val="20"/>
          <w:szCs w:val="20"/>
        </w:rPr>
        <w:t xml:space="preserve">Nothing is triggered by a value crossing a threshold — day-count residency, covenant headroom, unfunded commitments against liquidity are not monitored.</w:t>
      </w:r>
    </w:p>
    <w:p>
      <w:pPr>
        <w:pStyle w:val="ListParagraph"/>
        <w:numPr>
          <w:ilvl w:val="0"/>
          <w:numId w:val="2"/>
        </w:numPr>
        <w:spacing w:after="36"/>
      </w:pPr>
      <w:r>
        <w:rPr>
          <w:rFonts w:ascii="Calibri" w:cs="Calibri" w:eastAsia="Calibri" w:hAnsi="Calibri"/>
          <w:color w:val="1E293B"/>
          <w:sz w:val="20"/>
          <w:szCs w:val="20"/>
        </w:rPr>
        <w:t xml:space="preserve">An adviser serving households across several branded environments signs into each separately.</w:t>
      </w:r>
    </w:p>
    <w:p>
      <w:pPr>
        <w:pStyle w:val="ListParagraph"/>
        <w:numPr>
          <w:ilvl w:val="0"/>
          <w:numId w:val="2"/>
        </w:numPr>
        <w:spacing w:after="36"/>
      </w:pPr>
      <w:r>
        <w:rPr>
          <w:rFonts w:ascii="Calibri" w:cs="Calibri" w:eastAsia="Calibri" w:hAnsi="Calibri"/>
          <w:color w:val="1E293B"/>
          <w:sz w:val="20"/>
          <w:szCs w:val="20"/>
        </w:rPr>
        <w:t xml:space="preserve">Cash flow line items are not yet linked to source documents the way properties, valuables and accounts are.</w:t>
      </w:r>
    </w:p>
    <w:p>
      <w:pPr>
        <w:pStyle w:val="ListParagraph"/>
        <w:numPr>
          <w:ilvl w:val="0"/>
          <w:numId w:val="2"/>
        </w:numPr>
        <w:spacing w:after="36"/>
      </w:pPr>
      <w:r>
        <w:rPr>
          <w:rFonts w:ascii="Calibri" w:cs="Calibri" w:eastAsia="Calibri" w:hAnsi="Calibri"/>
          <w:color w:val="1E293B"/>
          <w:sz w:val="20"/>
          <w:szCs w:val="20"/>
        </w:rPr>
        <w:t xml:space="preserve">Multi-factor authentication and a full field-level change history are not yet built. Document downloads and task completions are attributed.</w:t>
      </w:r>
    </w:p>
    <w:p>
      <w:pPr>
        <w:pBdr>
          <w:top w:val="single" w:color="CEB684" w:sz="6"/>
        </w:pBdr>
        <w:spacing w:before="300"/>
        <w:jc w:val="center"/>
      </w:pPr>
      <w:r>
        <w:rPr>
          <w:rFonts w:ascii="Calibri" w:cs="Calibri" w:eastAsia="Calibri" w:hAnsi="Calibri"/>
          <w:color w:val="5A6E84"/>
          <w:sz w:val="17"/>
          <w:szCs w:val="17"/>
        </w:rPr>
        <w:t xml:space="preserve">TitanOS  ·  Internal Standard Operating Procedures  ·  Not for circulation</w:t>
      </w:r>
    </w:p>
    <w:sectPr>
      <w:pgSz w:w="12240" w:h="15840" w:orient="portrait"/>
      <w:pgMar w:top="85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2026-07-28T20:58:06.152Z</dcterms:created>
  <dcterms:modified xsi:type="dcterms:W3CDTF">2026-07-28T20:58:06.152Z</dcterms:modified>
</cp:coreProperties>
</file>

<file path=docProps/custom.xml><?xml version="1.0" encoding="utf-8"?>
<Properties xmlns="http://schemas.openxmlformats.org/officeDocument/2006/custom-properties" xmlns:vt="http://schemas.openxmlformats.org/officeDocument/2006/docPropsVTypes"/>
</file>