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 Black" w:cs="Arial Black" w:eastAsia="Arial Black" w:hAnsi="Arial Black"/>
          <w:b/>
          <w:bCs/>
          <w:color w:val="092B49"/>
          <w:sz w:val="52"/>
          <w:szCs w:val="52"/>
        </w:rPr>
        <w:t xml:space="preserve">TITAN</w:t>
      </w:r>
      <w:r>
        <w:rPr>
          <w:rFonts w:ascii="Arial Black" w:cs="Arial Black" w:eastAsia="Arial Black" w:hAnsi="Arial Black"/>
          <w:b/>
          <w:bCs/>
          <w:color w:val="CEB684"/>
          <w:sz w:val="52"/>
          <w:szCs w:val="52"/>
        </w:rPr>
        <w:t xml:space="preserve">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6E84"/>
          <w:sz w:val="15"/>
          <w:szCs w:val="15"/>
        </w:rPr>
        <w:t xml:space="preserve">P R I V A T E   W E A L T H   O P E R A T I N G   S Y S T E M</w:t>
      </w:r>
    </w:p>
    <w:p>
      <w:pPr>
        <w:pBdr>
          <w:bottom w:val="single" w:color="CEB684" w:sz="8"/>
        </w:pBdr>
        <w:spacing w:after="240"/>
        <w:jc w:val="center"/>
      </w:pPr>
      <w:r>
        <w:rPr>
          <w:rFonts w:ascii="Georgia" w:cs="Georgia" w:eastAsia="Georgia" w:hAnsi="Georgia"/>
          <w:b/>
          <w:bCs/>
          <w:color w:val="092B49"/>
          <w:sz w:val="32"/>
          <w:szCs w:val="32"/>
        </w:rPr>
        <w:t xml:space="preserve">New Tenant Provisioning Runbook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Every TitanOS client firm runs in its own dedicated, fully isolated environment: a private database, private document vault, private AI pipeline, and the firm's own branding on their own web address. No client's data ever shares a database with another client's. Provisioning a new firm is a repeatable half-day process against a single shared codebase — every platform improvement ships to all tenants simultaneously.</w:t>
      </w:r>
    </w:p>
    <w:p>
      <w:pPr>
        <w:pBdr>
          <w:bottom w:val="single" w:color="CEB684" w:sz="6"/>
        </w:pBdr>
        <w:spacing w:after="120" w:before="28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Provisioning Steps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8140"/>
      </w:tblGrid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TitanOS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~15 min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Create the dedicated backend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Spin up an isolated Supabase environment for the firm. Apply the three standard migrations: database schema with row-level security, permission functions and triggers, and the hourly automation schedule. The entire structure replays from version-controlled scripts in minutes.</w:t>
            </w:r>
          </w:p>
        </w:tc>
      </w:tr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TitanOS + Firm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~10 min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Configure service credentials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 the AI (Anthropic) and email (Resend) API keys as encrypted secrets in the new environment. Keys are never stored in code and never leave the server.</w:t>
            </w:r>
          </w:p>
        </w:tc>
      </w:tr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TitanOS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~20 min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Deploy the service layer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Deploy the six TitanOS edge functions (AI assistant, scheduled reports and concierge search, secure client email, document intelligence, administration) configured with the firm's brand name, logo, and tagline.</w:t>
            </w:r>
          </w:p>
        </w:tc>
      </w:tr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TitanOS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~15 min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Deploy the branded application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a new deployment from the shared TitanOS codebase. Only environment variables differ per tenant: brand name, logo, tagline, and the address of that firm's private backend. HTTPS and DDoS protection are automatic.</w:t>
            </w:r>
          </w:p>
        </w:tc>
      </w:tr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Firm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~5 min + DNS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Connect the firm's web address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firm adds one CNAME record pointing their chosen subdomain (e.g. portal.clientfirm.com) at the platform. SSL certificates are issued and renewed automatically.</w:t>
            </w:r>
          </w:p>
        </w:tc>
      </w:tr>
      <w:tr>
        <w:tc>
          <w:tcPr>
            <w:tcW w:type="dxa" w:w="6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1ED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92B49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92B49"/>
                <w:sz w:val="18"/>
                <w:szCs w:val="18"/>
              </w:rPr>
              <w:t xml:space="preserve">TitanOS + Firm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E84"/>
                <w:sz w:val="17"/>
                <w:szCs w:val="17"/>
              </w:rPr>
              <w:t xml:space="preserve">~1–2 hrs</w:t>
            </w:r>
          </w:p>
        </w:tc>
        <w:tc>
          <w:tcPr>
            <w:tcW w:type="dxa" w:w="81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92B49"/>
                <w:sz w:val="20"/>
                <w:szCs w:val="20"/>
              </w:rPr>
              <w:t xml:space="preserve">Onboard users and data</w:t>
            </w:r>
          </w:p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the firm's administrator and staff accounts with role-based permissions (Admin, Titan Expert, Partner, Client), import or enter initial family data, and hand over credentials.</w:t>
            </w:r>
          </w:p>
        </w:tc>
      </w:tr>
    </w:tbl>
    <w:p>
      <w:pPr>
        <w:pBdr>
          <w:bottom w:val="single" w:color="CEB684" w:sz="6"/>
        </w:pBdr>
        <w:spacing w:after="120" w:before="28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What We Need From Each Firm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Logo as a transparent PNG (wordmark preferred), plus brand name and tagline.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subdomain they want (e.g. portal.clientfirm.com) and access to whoever manages their DNS.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Optional, recommended: a verified email-sending domain so reports arrive from alerts@theirfirm.com.</w:t>
      </w:r>
    </w:p>
    <w:p>
      <w:pPr>
        <w:pBdr>
          <w:bottom w:val="single" w:color="CEB684" w:sz="6"/>
        </w:pBdr>
        <w:spacing w:after="120" w:before="28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Security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Dedicated database per firm with row-level security enforced inside the database — access rules apply even if the application layer is bypassed.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Four roles enforced at the data layer: Admin, Titan Expert, Partner (read-only, per-family grants), and Client. Permission changes take effect immediately, including for already-scheduled automations.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traffic encrypted (TLS); data encrypted at rest; service keys held server-side only.</w:t>
      </w:r>
    </w:p>
    <w:p>
      <w:pPr>
        <w:pBdr>
          <w:top w:val="single" w:color="CEB684" w:sz="6"/>
        </w:pBdr>
        <w:spacing w:before="300"/>
        <w:jc w:val="center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TitanOS · Confidential — Pilot client: PCM Family Office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2026-07-27T21:42:36.596Z</dcterms:created>
  <dcterms:modified xsi:type="dcterms:W3CDTF">2026-07-27T21:42:36.596Z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