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 Black" w:cs="Arial Black" w:eastAsia="Arial Black" w:hAnsi="Arial Black"/>
          <w:b/>
          <w:bCs/>
          <w:color w:val="092B49"/>
          <w:sz w:val="56"/>
          <w:szCs w:val="56"/>
        </w:rPr>
        <w:t xml:space="preserve">TITAN</w:t>
      </w:r>
      <w:r>
        <w:rPr>
          <w:rFonts w:ascii="Arial Black" w:cs="Arial Black" w:eastAsia="Arial Black" w:hAnsi="Arial Black"/>
          <w:b/>
          <w:bCs/>
          <w:color w:val="CEB684"/>
          <w:sz w:val="56"/>
          <w:szCs w:val="56"/>
        </w:rPr>
        <w:t xml:space="preserve">OS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A6E84"/>
          <w:sz w:val="15"/>
          <w:szCs w:val="15"/>
        </w:rPr>
        <w:t xml:space="preserve">P R I V A T E   W E A L T H   O P E R A T I N G   S Y S T E M</w:t>
      </w:r>
    </w:p>
    <w:p>
      <w:pPr>
        <w:pBdr>
          <w:bottom w:val="single" w:color="CEB684" w:sz="8"/>
        </w:pBdr>
        <w:spacing w:after="40"/>
        <w:jc w:val="center"/>
      </w:pPr>
      <w:r>
        <w:rPr>
          <w:rFonts w:ascii="Georgia" w:cs="Georgia" w:eastAsia="Georgia" w:hAnsi="Georgia"/>
          <w:b/>
          <w:bCs/>
          <w:color w:val="092B49"/>
          <w:sz w:val="32"/>
          <w:szCs w:val="32"/>
        </w:rPr>
        <w:t xml:space="preserve">Capability Overview</w:t>
      </w:r>
    </w:p>
    <w:p>
      <w:pPr>
        <w:spacing w:after="250" w:before="100"/>
        <w:jc w:val="center"/>
      </w:pPr>
      <w:r>
        <w:rPr>
          <w:rFonts w:ascii="Calibri" w:cs="Calibri" w:eastAsia="Calibri" w:hAnsi="Calibri"/>
          <w:color w:val="5A6E84"/>
          <w:sz w:val="17"/>
          <w:szCs w:val="17"/>
        </w:rPr>
        <w:t xml:space="preserve">28 July 2026  ·  Confidential</w:t>
      </w:r>
    </w:p>
    <w:p>
      <w:pPr>
        <w:spacing w:after="11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TitanOS is the operating system behind a modern advisory firm: one place for a client's whole balance sheet, documents attached to the numbers they support, an assistant that answers from the firm's own records, and workflows that carry recurring obligations to completion under human approval.</w:t>
      </w:r>
    </w:p>
    <w:p>
      <w:pPr>
        <w:spacing w:after="11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Every firm runs in its own isolated environment under its own brand. PCM Family Office is the pilot client.</w:t>
      </w:r>
    </w:p>
    <w:p>
      <w:pPr>
        <w:spacing w:after="70" w:before="170"/>
      </w:pPr>
      <w:r>
        <w:rPr>
          <w:rFonts w:ascii="Calibri" w:cs="Calibri" w:eastAsia="Calibri" w:hAnsi="Calibri"/>
          <w:b/>
          <w:bCs/>
          <w:color w:val="092B49"/>
          <w:sz w:val="19"/>
          <w:szCs w:val="19"/>
        </w:rPr>
        <w:t xml:space="preserve">Reading the status column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40"/>
      </w:tblGrid>
      <w:tr>
        <w:tc>
          <w:tcPr>
            <w:tcW w:type="dxa" w:w="17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  <w:tc>
          <w:tcPr>
            <w:tcW w:type="dxa" w:w="85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 production today, carrying real client data</w:t>
            </w:r>
          </w:p>
        </w:tc>
      </w:tr>
      <w:tr>
        <w:tc>
          <w:tcPr>
            <w:tcW w:type="dxa" w:w="17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FBF3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A19"/>
                <w:sz w:val="16"/>
                <w:szCs w:val="16"/>
              </w:rPr>
              <w:t xml:space="preserve">DEMO</w:t>
            </w:r>
          </w:p>
        </w:tc>
        <w:tc>
          <w:tcPr>
            <w:tcW w:type="dxa" w:w="85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Built and working on the demonstration instance</w:t>
            </w:r>
          </w:p>
        </w:tc>
      </w:tr>
      <w:tr>
        <w:tc>
          <w:tcPr>
            <w:tcW w:type="dxa" w:w="17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DEF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5568"/>
                <w:sz w:val="16"/>
                <w:szCs w:val="16"/>
              </w:rPr>
              <w:t xml:space="preserve">BUILDING</w:t>
            </w:r>
          </w:p>
        </w:tc>
        <w:tc>
          <w:tcPr>
            <w:tcW w:type="dxa" w:w="85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 active development</w:t>
            </w:r>
          </w:p>
        </w:tc>
      </w:tr>
    </w:tbl>
    <w:p>
      <w:pPr>
        <w:pBdr>
          <w:bottom w:val="single" w:color="CEB684" w:sz="8"/>
        </w:pBdr>
        <w:spacing w:after="130" w:before="320"/>
      </w:pPr>
      <w:r>
        <w:rPr>
          <w:rFonts w:ascii="Georgia" w:cs="Georgia" w:eastAsia="Georgia" w:hAnsi="Georgia"/>
          <w:b/>
          <w:bCs/>
          <w:color w:val="092B49"/>
          <w:sz w:val="26"/>
          <w:szCs w:val="26"/>
        </w:rPr>
        <w:t xml:space="preserve">1.  White-label, genuinely</w:t>
      </w:r>
    </w:p>
    <w:p>
      <w:pPr>
        <w:spacing w:after="11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product is TitanOS. Every firm — including PCM — is a tenant that supplies its own identity. Nothing in the codebase treats one firm as special.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40"/>
        <w:gridCol w:w="2000"/>
      </w:tblGrid>
      <w:tr>
        <w:trPr>
          <w:tblHeader/>
        </w:trP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092B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092B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Brand name, logo, tagline and full colour palette per tenant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Runtime brand switching from an admin screen — no rebuild, no developer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FBF3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A19"/>
                <w:sz w:val="16"/>
                <w:szCs w:val="16"/>
              </w:rPr>
              <w:t xml:space="preserve">DEMO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Several saved brands, switched in one click, for concurrent sales cycles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FBF3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A19"/>
                <w:sz w:val="16"/>
                <w:szCs w:val="16"/>
              </w:rPr>
              <w:t xml:space="preserve">DEMO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Branding carries through to exported PDFs, print reports and outbound email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Branded link previews, favicons and browser chrome per tenant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Dedicated database per firm — no shared tables, no shared rows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</w:tbl>
    <w:p>
      <w:pPr>
        <w:pBdr>
          <w:left w:val="single" w:color="CEB684" w:sz="18"/>
        </w:pBdr>
        <w:shd w:fill="F4F1EA" w:val="clear"/>
        <w:spacing w:after="160" w:before="120"/>
        <w:ind w:left="200"/>
      </w:pPr>
      <w:r>
        <w:rPr>
          <w:rFonts w:ascii="Calibri" w:cs="Calibri" w:eastAsia="Calibri" w:hAnsi="Calibri"/>
          <w:i/>
          <w:iCs/>
          <w:color w:val="092B49"/>
          <w:sz w:val="20"/>
          <w:szCs w:val="20"/>
        </w:rPr>
        <w:t xml:space="preserve">Every client firm gets an isolated environment with its own database, provisioned in under a day, carrying their brand end to end — down to the PDF a client opens on their phone.</w:t>
      </w:r>
    </w:p>
    <w:p>
      <w:pPr>
        <w:pBdr>
          <w:bottom w:val="single" w:color="CEB684" w:sz="8"/>
        </w:pBdr>
        <w:spacing w:after="130" w:before="320"/>
      </w:pPr>
      <w:r>
        <w:rPr>
          <w:rFonts w:ascii="Georgia" w:cs="Georgia" w:eastAsia="Georgia" w:hAnsi="Georgia"/>
          <w:b/>
          <w:bCs/>
          <w:color w:val="092B49"/>
          <w:sz w:val="26"/>
          <w:szCs w:val="26"/>
        </w:rPr>
        <w:t xml:space="preserve">2.  One place for the whole balance sheet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40"/>
        <w:gridCol w:w="2000"/>
      </w:tblGrid>
      <w:tr>
        <w:trPr>
          <w:tblHeader/>
        </w:trP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092B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092B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Properties with loan, tax, insurance, flood and rental detail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Portfolio accounts, with lines of credit correctly excluded from asset totals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Valuables, flagged insured or not scheduled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Cash flow modelling with tax treatment and multi-year projection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Deals pipeline and prospect tracking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Tasks, deadlines and recurring obligations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Professional contacts and property vendors, click to call and click to email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</w:tbl>
    <w:p>
      <w:pPr>
        <w:pBdr>
          <w:bottom w:val="single" w:color="CEB684" w:sz="8"/>
        </w:pBdr>
        <w:spacing w:after="130" w:before="320"/>
      </w:pPr>
      <w:r>
        <w:rPr>
          <w:rFonts w:ascii="Georgia" w:cs="Georgia" w:eastAsia="Georgia" w:hAnsi="Georgia"/>
          <w:b/>
          <w:bCs/>
          <w:color w:val="092B49"/>
          <w:sz w:val="26"/>
          <w:szCs w:val="26"/>
        </w:rPr>
        <w:t xml:space="preserve">3.  Documents attached to the numbers</w:t>
      </w:r>
    </w:p>
    <w:p>
      <w:pPr>
        <w:spacing w:after="11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Most platforms give you a folder. This links a document to the figure it supports.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40"/>
        <w:gridCol w:w="2000"/>
      </w:tblGrid>
      <w:tr>
        <w:trPr>
          <w:tblHeader/>
        </w:trP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092B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092B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Vault organised into folders by category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AI reads uploaded documents — embedded text, and OCR for scans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Documents linked to a specific property section: mortgage, tax bill, insurance declarations, insurance invoice, flood, rental agreement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Valuables linked to the schedule that covers them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Attach from the figure itself — a paperclip beside Property Taxes opens a pre-filled upload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Replacing a document keeps the previous one on file, unlinked, for history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Download audit log — who opened which document, and when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Time-limited signed links; no permanent public file URLs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</w:tbl>
    <w:p>
      <w:pPr>
        <w:pBdr>
          <w:left w:val="single" w:color="CEB684" w:sz="18"/>
        </w:pBdr>
        <w:shd w:fill="F4F1EA" w:val="clear"/>
        <w:spacing w:after="160" w:before="120"/>
        <w:ind w:left="200"/>
      </w:pPr>
      <w:r>
        <w:rPr>
          <w:rFonts w:ascii="Calibri" w:cs="Calibri" w:eastAsia="Calibri" w:hAnsi="Calibri"/>
          <w:i/>
          <w:iCs/>
          <w:color w:val="092B49"/>
          <w:sz w:val="20"/>
          <w:szCs w:val="20"/>
        </w:rPr>
        <w:t xml:space="preserve">Demo moment: open a property, click the icon beside the insurance premium, and the declarations page opens. Next year's bill replaces it in two clicks and last year's stays on file.</w:t>
      </w:r>
    </w:p>
    <w:p>
      <w:pPr>
        <w:pBdr>
          <w:bottom w:val="single" w:color="CEB684" w:sz="8"/>
        </w:pBdr>
        <w:spacing w:after="130" w:before="320"/>
      </w:pPr>
      <w:r>
        <w:rPr>
          <w:rFonts w:ascii="Georgia" w:cs="Georgia" w:eastAsia="Georgia" w:hAnsi="Georgia"/>
          <w:b/>
          <w:bCs/>
          <w:color w:val="092B49"/>
          <w:sz w:val="26"/>
          <w:szCs w:val="26"/>
        </w:rPr>
        <w:t xml:space="preserve">4.  AI that works from the client's own records</w:t>
      </w:r>
    </w:p>
    <w:p>
      <w:pPr>
        <w:spacing w:after="11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Not a chatbot bolted on. It answers from one family's data and names the document it used.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40"/>
        <w:gridCol w:w="2000"/>
      </w:tblGrid>
      <w:tr>
        <w:trPr>
          <w:tblHeader/>
        </w:trP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092B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092B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Per-family assistant answering from that family's records and document contents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Strictly scoped to one family — it cannot answer across relationships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Floating assistant on every page; firm-wide screens ask which client first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Named per family, so the client meets a consistent assistant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Scheduled reports on a cadence, delivered as branded PDFs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Concierge research — live web search for what a client asked the firm to watch for, with sources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Document field extraction to pre-fill property records from a statement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Treats document text strictly as data, never as instructions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</w:tbl>
    <w:p>
      <w:pPr>
        <w:pBdr>
          <w:left w:val="single" w:color="CEB684" w:sz="18"/>
        </w:pBdr>
        <w:shd w:fill="F4F1EA" w:val="clear"/>
        <w:spacing w:after="160" w:before="120"/>
        <w:ind w:left="200"/>
      </w:pPr>
      <w:r>
        <w:rPr>
          <w:rFonts w:ascii="Calibri" w:cs="Calibri" w:eastAsia="Calibri" w:hAnsi="Calibri"/>
          <w:i/>
          <w:iCs/>
          <w:color w:val="092B49"/>
          <w:sz w:val="20"/>
          <w:szCs w:val="20"/>
        </w:rPr>
        <w:t xml:space="preserve">Demo moment: ask “is anything uninsured?” and it names the vehicle missing from the schedule, because it read the endorsement.</w:t>
      </w:r>
    </w:p>
    <w:p>
      <w:pPr>
        <w:pBdr>
          <w:bottom w:val="single" w:color="CEB684" w:sz="8"/>
        </w:pBdr>
        <w:spacing w:after="130" w:before="320"/>
      </w:pPr>
      <w:r>
        <w:rPr>
          <w:rFonts w:ascii="Georgia" w:cs="Georgia" w:eastAsia="Georgia" w:hAnsi="Georgia"/>
          <w:b/>
          <w:bCs/>
          <w:color w:val="092B49"/>
          <w:sz w:val="26"/>
          <w:szCs w:val="26"/>
        </w:rPr>
        <w:t xml:space="preserve">5.  Workflows: obligations carried to completion</w:t>
      </w:r>
    </w:p>
    <w:p>
      <w:pPr>
        <w:spacing w:after="11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difference between software that tells you something and software that gets something done.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40"/>
        <w:gridCol w:w="2000"/>
      </w:tblGrid>
      <w:tr>
        <w:trPr>
          <w:tblHeader/>
        </w:trP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092B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092B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Recurring obligations: premiums, estimated tax, RMDs, capital calls, loan payments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Four starter playbooks ship with the product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Lead times measured back from the due date, per playbook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Conditional steps — Crummey notices only where the trust requires them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Conditions resolved before dates are set, because they change the schedule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Flagged at risk on day one when a cycle starts too late to fit its own lead times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Every outbound item held for named human approval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Skipped steps stay visible, so nothing looks forgotten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Template library in Resources: read the exact playbook before it runs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Steps read in plain language — 60 days before, who acts, and to whom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Admins edit lead times, actors, recipients and conditions; others read only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New playbooks are rows, not code — the firm adds its own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Review queue on the dashboard: everything awaiting a person, across the book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Playbooks provision from one migration file, identical across every tenant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</w:tbl>
    <w:p>
      <w:pPr>
        <w:pBdr>
          <w:left w:val="single" w:color="CEB684" w:sz="18"/>
        </w:pBdr>
        <w:shd w:fill="F4F1EA" w:val="clear"/>
        <w:spacing w:after="160" w:before="120"/>
        <w:ind w:left="200"/>
      </w:pPr>
      <w:r>
        <w:rPr>
          <w:rFonts w:ascii="Calibri" w:cs="Calibri" w:eastAsia="Calibri" w:hAnsi="Calibri"/>
          <w:i/>
          <w:iCs/>
          <w:color w:val="092B49"/>
          <w:sz w:val="20"/>
          <w:szCs w:val="20"/>
        </w:rPr>
        <w:t xml:space="preserve">Two things to say out loud: nothing sends without a named approval, and the platform prepares payment instructions but never moves money. Those are the reasons a compliance officer says yes.</w:t>
      </w:r>
    </w:p>
    <w:p>
      <w:pPr>
        <w:pBdr>
          <w:bottom w:val="single" w:color="CEB684" w:sz="8"/>
        </w:pBdr>
        <w:spacing w:after="130" w:before="320"/>
      </w:pPr>
      <w:r>
        <w:rPr>
          <w:rFonts w:ascii="Georgia" w:cs="Georgia" w:eastAsia="Georgia" w:hAnsi="Georgia"/>
          <w:b/>
          <w:bCs/>
          <w:color w:val="092B49"/>
          <w:sz w:val="26"/>
          <w:szCs w:val="26"/>
        </w:rPr>
        <w:t xml:space="preserve">6.  Roles and permissions enforced at the data layer</w:t>
      </w:r>
    </w:p>
    <w:p>
      <w:pPr>
        <w:spacing w:after="11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Access rules live in the database, so they hold even if the application layer is bypassed.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40"/>
        <w:gridCol w:w="2000"/>
      </w:tblGrid>
      <w:tr>
        <w:trPr>
          <w:tblHeader/>
        </w:trP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092B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092B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Four roles: Admin, Titan Expert, Partner, Client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Row-level security per family, enforced in Postgres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Titan Experts see only their own book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Partners: read-only, per-family grants, document upload only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Clients: their own family, read-only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Permission changes take effect immediately, including for scheduled automations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Per-partner feature permissions, such as who may run scheduled reports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Admin screens gated on role at the view, not only in the menu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Clients may email their own advisor, never other advisors at the firm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</w:tbl>
    <w:p>
      <w:pPr>
        <w:pBdr>
          <w:bottom w:val="single" w:color="CEB684" w:sz="8"/>
        </w:pBdr>
        <w:spacing w:after="130" w:before="320"/>
      </w:pPr>
      <w:r>
        <w:rPr>
          <w:rFonts w:ascii="Georgia" w:cs="Georgia" w:eastAsia="Georgia" w:hAnsi="Georgia"/>
          <w:b/>
          <w:bCs/>
          <w:color w:val="092B49"/>
          <w:sz w:val="26"/>
          <w:szCs w:val="26"/>
        </w:rPr>
        <w:t xml:space="preserve">7.  Client experience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40"/>
        <w:gridCol w:w="2000"/>
      </w:tblGrid>
      <w:tr>
        <w:trPr>
          <w:tblHeader/>
        </w:trP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092B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092B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Branded client portal carrying the firm's identity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Read-only net worth, properties, accounts, valuables and documents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Email their advisor from inside the portal; primary advisor always copied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Mobile responsive throughout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Firm-paid bills marked paid, recording who paid and when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</w:tbl>
    <w:p>
      <w:pPr>
        <w:pBdr>
          <w:bottom w:val="single" w:color="CEB684" w:sz="8"/>
        </w:pBdr>
        <w:spacing w:after="130" w:before="320"/>
      </w:pPr>
      <w:r>
        <w:rPr>
          <w:rFonts w:ascii="Georgia" w:cs="Georgia" w:eastAsia="Georgia" w:hAnsi="Georgia"/>
          <w:b/>
          <w:bCs/>
          <w:color w:val="092B49"/>
          <w:sz w:val="26"/>
          <w:szCs w:val="26"/>
        </w:rPr>
        <w:t xml:space="preserve">8.  Operational quality</w:t>
      </w:r>
    </w:p>
    <w:p>
      <w:pPr>
        <w:spacing w:after="11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Unglamorous, and the reason it survives a real deployment.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40"/>
        <w:gridCol w:w="2000"/>
      </w:tblGrid>
      <w:tr>
        <w:trPr>
          <w:tblHeader/>
        </w:trP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092B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092B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Long AI jobs run in the background — no timeouts on multi-minute research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Every build stamped; open tabs are told when a newer version is live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Cache rules: immutable hashed assets, never-cached entry point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Brand artwork versioned, so a replaced logo appears immediately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Artwork failure falls back to the brand name rather than a blank header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Unsaved brand edits survive leaving the page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FBF3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A19"/>
                <w:sz w:val="16"/>
                <w:szCs w:val="16"/>
              </w:rPr>
              <w:t xml:space="preserve">DEMO</w:t>
            </w:r>
          </w:p>
        </w:tc>
      </w:tr>
      <w:tr>
        <w:tc>
          <w:tcPr>
            <w:tcW w:type="dxa" w:w="82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Unrecognised categories fall into Other rather than hiding an asset</w:t>
            </w:r>
          </w:p>
        </w:tc>
        <w:tc>
          <w:tcPr>
            <w:tcW w:type="dxa" w:w="20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E2F2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5C33"/>
                <w:sz w:val="16"/>
                <w:szCs w:val="16"/>
              </w:rPr>
              <w:t xml:space="preserve">LIVE</w:t>
            </w:r>
          </w:p>
        </w:tc>
      </w:tr>
    </w:tbl>
    <w:p>
      <w:pPr>
        <w:spacing w:after="90" w:before="220"/>
      </w:pPr>
      <w:r>
        <w:rPr>
          <w:rFonts w:ascii="Georgia" w:cs="Georgia" w:eastAsia="Georgia" w:hAnsi="Georgia"/>
          <w:b/>
          <w:bCs/>
          <w:color w:val="092B49"/>
          <w:sz w:val="22"/>
          <w:szCs w:val="22"/>
        </w:rPr>
        <w:t xml:space="preserve">Starter playbooks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0"/>
        <w:gridCol w:w="1400"/>
        <w:gridCol w:w="1900"/>
        <w:gridCol w:w="2900"/>
      </w:tblGrid>
      <w:tr>
        <w:trPr>
          <w:tblHeader/>
        </w:trPr>
        <w:tc>
          <w:tcPr>
            <w:tcW w:type="dxa" w:w="40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092B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Playbook</w:t>
            </w:r>
          </w:p>
        </w:tc>
        <w:tc>
          <w:tcPr>
            <w:tcW w:type="dxa" w:w="14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092B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19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092B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Lead time</w:t>
            </w:r>
          </w:p>
        </w:tc>
        <w:tc>
          <w:tcPr>
            <w:tcW w:type="dxa" w:w="29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shd w:fill="092B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Conditional step</w:t>
            </w:r>
          </w:p>
        </w:tc>
      </w:tr>
      <w:tr>
        <w:tc>
          <w:tcPr>
            <w:tcW w:type="dxa" w:w="40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ILIT Premium Funding</w:t>
            </w:r>
          </w:p>
        </w:tc>
        <w:tc>
          <w:tcPr>
            <w:tcW w:type="dxa" w:w="14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9</w:t>
            </w:r>
          </w:p>
        </w:tc>
        <w:tc>
          <w:tcPr>
            <w:tcW w:type="dxa" w:w="19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75 days</w:t>
            </w:r>
          </w:p>
        </w:tc>
        <w:tc>
          <w:tcPr>
            <w:tcW w:type="dxa" w:w="29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Crummey notices</w:t>
            </w:r>
          </w:p>
        </w:tc>
      </w:tr>
      <w:tr>
        <w:tc>
          <w:tcPr>
            <w:tcW w:type="dxa" w:w="40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Property Insurance Renewal</w:t>
            </w:r>
          </w:p>
        </w:tc>
        <w:tc>
          <w:tcPr>
            <w:tcW w:type="dxa" w:w="14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75 days</w:t>
            </w:r>
          </w:p>
        </w:tc>
        <w:tc>
          <w:tcPr>
            <w:tcW w:type="dxa" w:w="29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Market check</w:t>
            </w:r>
          </w:p>
        </w:tc>
      </w:tr>
      <w:tr>
        <w:tc>
          <w:tcPr>
            <w:tcW w:type="dxa" w:w="40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Quarterly Estimated Tax</w:t>
            </w:r>
          </w:p>
        </w:tc>
        <w:tc>
          <w:tcPr>
            <w:tcW w:type="dxa" w:w="14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30 days</w:t>
            </w:r>
          </w:p>
        </w:tc>
        <w:tc>
          <w:tcPr>
            <w:tcW w:type="dxa" w:w="29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CPA sign-off</w:t>
            </w:r>
          </w:p>
        </w:tc>
      </w:tr>
      <w:tr>
        <w:tc>
          <w:tcPr>
            <w:tcW w:type="dxa" w:w="404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Private Fund Capital Call</w:t>
            </w:r>
          </w:p>
        </w:tc>
        <w:tc>
          <w:tcPr>
            <w:tcW w:type="dxa" w:w="14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12 days</w:t>
            </w:r>
          </w:p>
        </w:tc>
        <w:tc>
          <w:tcPr>
            <w:tcW w:type="dxa" w:w="2900"/>
            <w:tcBorders>
              <w:top w:val="single" w:color="D8CDB8" w:sz="4"/>
              <w:left w:val="single" w:color="D8CDB8" w:sz="4"/>
              <w:bottom w:val="single" w:color="D8CDB8" w:sz="4"/>
              <w:right w:val="single" w:color="D8CD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Between them these span five to nine steps, lead times from twelve days to seventy-five, two to four recipient types and three different conditional flags — all held as data rather than code, which is what lets a firm add its own playbooks.</w:t>
      </w:r>
    </w:p>
    <w:p>
      <w:pPr>
        <w:pBdr>
          <w:bottom w:val="single" w:color="CEB684" w:sz="8"/>
        </w:pBdr>
        <w:spacing w:after="130" w:before="320"/>
      </w:pPr>
      <w:r>
        <w:rPr>
          <w:rFonts w:ascii="Georgia" w:cs="Georgia" w:eastAsia="Georgia" w:hAnsi="Georgia"/>
          <w:b/>
          <w:bCs/>
          <w:color w:val="092B49"/>
          <w:sz w:val="26"/>
          <w:szCs w:val="26"/>
        </w:rPr>
        <w:t xml:space="preserve">Known gaps</w:t>
      </w:r>
    </w:p>
    <w:p>
      <w:pPr>
        <w:spacing w:after="11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Named here so they are raised by us rather than discovered by a prospect. Each has a credible answer.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Cross-firm single sign-on. A Titan Expert serving clients through several branded instances signs into each separately. Deliberate isolation today; central identity is on the roadmap.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Multi-factor authentication and a full change-history audit. Document downloads and task completions are attributed today; a complete record of field-level changes is not yet built.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Portfolio statements and cash flow line items are not yet linked to source documents the way properties and valuables are.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Backup and recovery policy should be stated explicitly for an enterprise buyer.</w:t>
      </w:r>
    </w:p>
    <w:p>
      <w:p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Fixed since the last revision, recorded because a technical buyer will probe it: outbound drafts used to take the firm name from a server-side setting, and fell back to the product name if it was unset. The tenant's own deployment now supplies it, so a firm's letters carry the firm's name with nothing to configure.</w:t>
      </w:r>
    </w:p>
    <w:p>
      <w:pPr>
        <w:pBdr>
          <w:top w:val="single" w:color="CEB684" w:sz="6"/>
        </w:pBdr>
        <w:spacing w:before="320"/>
        <w:jc w:val="center"/>
      </w:pPr>
      <w:r>
        <w:rPr>
          <w:rFonts w:ascii="Calibri" w:cs="Calibri" w:eastAsia="Calibri" w:hAnsi="Calibri"/>
          <w:color w:val="5A6E84"/>
          <w:sz w:val="17"/>
          <w:szCs w:val="17"/>
        </w:rPr>
        <w:t xml:space="preserve">TitanOS  ·  Confidential  ·  Pilot client: PCM Family Office</w:t>
      </w:r>
    </w:p>
    <w:sectPr>
      <w:pgSz w:w="12240" w:h="15840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2026-07-28T15:25:02.488Z</dcterms:created>
  <dcterms:modified xsi:type="dcterms:W3CDTF">2026-07-28T15:25:02.488Z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