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1257300" cy="238125"/>
            <wp:effectExtent t="0" r="0" b="0" l="0"/>
            <wp:docPr id="1" name="TitanOS" descr="TitanOS logo" title="Tita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CEB684"/>
          <w:sz w:val="15"/>
          <w:szCs w:val="15"/>
        </w:rPr>
        <w:t xml:space="preserve">P R I V A T E   W E A L T H   O P E R A T I N G   S Y S T E M</w:t>
      </w:r>
    </w:p>
    <w:p>
      <w:pPr>
        <w:pBdr>
          <w:bottom w:val="single" w:color="CEB684" w:sz="8"/>
        </w:pBdr>
        <w:spacing w:after="40"/>
        <w:jc w:val="center"/>
      </w:pPr>
      <w:r>
        <w:rPr>
          <w:rFonts w:ascii="Georgia" w:cs="Georgia" w:eastAsia="Georgia" w:hAnsi="Georgia"/>
          <w:b/>
          <w:bCs/>
          <w:color w:val="092B49"/>
          <w:sz w:val="32"/>
          <w:szCs w:val="32"/>
        </w:rPr>
        <w:t xml:space="preserve">Capability Overview</w:t>
      </w:r>
    </w:p>
    <w:p>
      <w:pPr>
        <w:spacing w:after="250" w:before="10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28 July 2026  ·  Confidential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TitanOS is the operating system behind a modern advisory firm: one place for a client's whole balance sheet, documents attached to the numbers they support, an assistant that answers from the firm's own records, and workflows that carry recurring obligations to completion under human approval.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Every firm runs in its own isolated environment under its own brand. PCM Family Office is the pilot client.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092B49"/>
          <w:sz w:val="19"/>
          <w:szCs w:val="19"/>
        </w:rPr>
        <w:t xml:space="preserve">Reading the status column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40"/>
      </w:tblGrid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production today, carrying real client data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Built and working on the demonstration instance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DEF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A5568"/>
                <w:sz w:val="16"/>
                <w:szCs w:val="16"/>
              </w:rPr>
              <w:t xml:space="preserve">BUILDING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active development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1.  White-label, genuinely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product is TitanOS. Every firm — including PCM — is a tenant that supplies its own identity. Nothing in the codebase treats one firm as special.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name, logo, tagline and full colour palette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Runtime brand switching from an admin screen — no rebuild, no developer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Several saved brands, switched in one click, for concurrent sales cycles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Branding carries through to exported PDFs, print reports and outbound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link previews, favicons and browser chrome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Dedicated database per firm — no shared tables, no shared rows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Every client firm gets an isolated environment with its own database, provisioned in under a day, carrying their brand end to end — down to the PDF a client opens on their phone.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2.  One place for the whole balance sheet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Properties with loan, tax, insurance, flood and rental detail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Portfolio accounts, with lines of credit correctly excluded from asset totals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Valuables, flagged insured or not scheduled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Cash flow modelling with tax treatment and multi-year projection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Deals pipeline and prospect tracking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Tasks, deadlines and recurring obligations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Professional contacts and property vendors, click to call and click to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3.  Documents attached to the numbers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Most platforms give you a folder. This links a document to the figure it supports.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Vault organised into folders by category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AI reads uploaded documents — embedded text, and OCR for scans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Documents linked to a specific property section: mortgage, tax bill, insurance declarations, insurance invoice, flood, rental agreement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linked to the schedule that covers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Account balances are dated and traceable to the statement they came from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Balance history per account, showing the change between periods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Upload a statement and the AI proposes the closing balance for a person to confirm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corrected statement replaces that period's figure rather than sitting beside it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Statements sit in the vault, so they are AI-readable and their downloads are logged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Attach from the figure itself — a paperclip beside Property Taxes opens a pre-filled upload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Replacing a document keeps the previous one on file, unlinked, for history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Download audit log — who opened which document,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Time-limited signed links; no permanent public file URLs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open a property, click the icon beside the insurance premium, and the declarations page opens. Next year's bill replaces it in two clicks and last year's stays on file.</w:t>
      </w:r>
    </w:p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And the question every client eventually asks: where did this number come from. An account shows its balance, the date it is good as at, and a link to the statement behind it. Upload the next statement and the figure is read for an adviser to confirm, then filed as a dated entry beside the last one. A figure with no statement behind it says so.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4.  AI that works from the client's own records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Not a chatbot bolted on. It answers from one family's data and names the document it used.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Per-family assistant answering from that family's records and document contents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Strictly scoped to one family — it cannot answer across relationships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Floating assistant on every page; firm-wide screens ask which client first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Named per family, so the client meets a consistent assistant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on a cadence, delivered as branded PDFs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Concierge research — live web search for what a client asked the firm to watch for, with sources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 field extraction to pre-fill property records from a statement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Treats document text strictly as data, never as instructions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ask “is anything uninsured?” and it names the vehicle missing from the schedule, because it read the endorsement.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5.  Workflows: obligations carried to completion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difference between software that tells you something and software that gets something done.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Recurring obligations: premiums, estimated tax, RMDs, capital calls, loan payments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Nine starter playbooks ship with the product, across four disciplines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Lead times measured back from the due date, per playbook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steps — Crummey notices only where the trust requires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Conditions resolved before dates are set, because they change the schedule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Flagged at risk on day one when a cycle starts too late to fit its own lead times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held for named human approval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Sends from the platform, as the responsible Titan Expert on the firm's own verified domain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Supporting documents pulled from the vault and attached to the message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Approval and sending recorded separately, each attributed to a named person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Sent means the provider accepted it, with a delivery reference recorded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Recipients checked against the client's known contacts; an unfamiliar address stops the send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failed send stays in the queue rather than looking successful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Re-sending the same instruction twice is not possible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copies the family principal, so the client sees what is done in their name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Refuses to guess the principal where a family has several members on file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Skipped steps stay visible, so nothing looks forgotten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Template library in Resources: read the exact playbook before it runs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Steps read in plain language — 60 days before, who acts, and to whom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Admins edit lead times, actors, recipients and conditions; others read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New playbooks are rows, not code — the firm adds its own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Review queue on the dashboard: everything awaiting a person, across the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Playbooks provision from one migration file, identical across every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Two things to say out loud: nothing sends without a named approval, and the platform prepares payment instructions but never moves money. Those are the reasons a compliance officer says yes.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6.  Roles and permissions enforced at the data layer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Access rules live in the database, so they hold even if the application layer is bypassed.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Four roles: Admin, Titan Expert, Partner, Client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Row-level security per family, enforced in Postgres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Titan Experts see only their own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Partners: read-only, per-family grants, document upload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Clients: their own family, read-only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Permission changes take effect immediately, including for scheduled automations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Per-partner feature permissions, such as who may run scheduled reports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 screens gated on role at the view, not only in the menu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 may email their own advisor, never other advisors at the firm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7.  Client experience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client portal carrying the firm's identity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Read-only net worth, properties, accounts, valuables and documents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Email their advisor from inside the portal; primary advisor always copied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Mobile responsive throughout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Firm-paid bills marked paid, recording who paid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8.  Operational quality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Unglamorous, and the reason it survives a real deployment.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Long AI jobs run in the background — no timeouts on multi-minute research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build stamped; open tabs are told when a newer version is live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Cache rules: immutable hashed assets, never-cached entry point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artwork versioned, so a replaced logo appears immediately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Artwork failure falls back to the brand name rather than a blank header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Unsaved brand edits survive leaving the page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Unrecognised categories fall into Other rather than hiding an asset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spacing w:after="90" w:before="220"/>
      </w:pPr>
      <w:r>
        <w:rPr>
          <w:rFonts w:ascii="Georgia" w:cs="Georgia" w:eastAsia="Georgia" w:hAnsi="Georgia"/>
          <w:b/>
          <w:bCs/>
          <w:color w:val="092B49"/>
          <w:sz w:val="22"/>
          <w:szCs w:val="22"/>
        </w:rPr>
        <w:t xml:space="preserve">Starter playbooks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150"/>
        <w:gridCol w:w="900"/>
        <w:gridCol w:w="1400"/>
        <w:gridCol w:w="2290"/>
      </w:tblGrid>
      <w:tr>
        <w:trPr>
          <w:tblHeader/>
        </w:trP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Playbook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Discipline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Lead time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Conditional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ILIT Premium Funding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Crummey notices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Insurance Renewal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Market check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Life Insurance In-Force Review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Remediation, trust-owned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GRAT Annuity Payment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Trusts &amp; Estates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60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In-kind, final year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Intra-Family Loan Interest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Trusts &amp; Estates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45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Maturity within a year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Required Minimum Distribution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sign-off, charitable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Partnership K-1 Collection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Quarterly Estimated Tax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30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Private Fund Capital Call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Investments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12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Chosen by consequence of failure rather than frequency. A missed GRAT annuity can unwind the whole structure; unpaid intra-family loan interest can be recharacterised as a gift years later; an unreviewed universal life policy lapses quietly on an elderly insured; a short required distribution carries a penalty; and one late partnership document holds up an entire return. None of them announce themselves, which is exactly why they are worth automating.</w:t>
      </w:r>
    </w:p>
    <w:p>
      <w:pPr>
        <w:spacing w:after="60"/>
      </w:pPr>
      <w:r>
        <w:rPr>
          <w:rFonts w:ascii="Calibri" w:cs="Calibri" w:eastAsia="Calibri" w:hAnsi="Calibri"/>
          <w:color w:val="5A6E84"/>
          <w:sz w:val="19"/>
          <w:szCs w:val="19"/>
        </w:rPr>
        <w:t xml:space="preserve">Lead times are a considered starting point rather than advice. Deadlines vary by jurisdiction and change with legislation, so each firm should have its own tax and legal counsel confirm them before a playbook runs against a real family. That is one reason playbooks are held as data a firm can edit, not code it cannot.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Known gaps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Named here so they are raised by us rather than discovered by a prospect. Each has a credible answer.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Cross-firm single sign-on. A Titan Expert serving clients through several branded instances signs into each separately. Deliberate isolation today; central identity is on the roadmap.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Multi-factor authentication and a full change-history audit. Document downloads and task completions are attributed today; a complete record of field-level changes is not yet built.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Cash flow line items are not yet linked to source documents the way properties, valuables and portfolio accounts are.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Backup and recovery policy should be stated explicitly for an enterprise buyer.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Delivery confirmation. The platform records that the email provider accepted a message, which is not the same as it arriving. Bounce and complaint handling is the next piece of work; until then a bounced item would sit looking sent.</w:t>
      </w:r>
    </w:p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Fixed since the last revision, recorded because a technical buyer will probe it: outbound drafts used to take the firm name from a server-side setting, and fell back to the product name if it was unset. The tenant's own deployment now supplies it, so a firm's letters carry the firm's name with nothing to configure.</w:t>
      </w:r>
    </w:p>
    <w:p>
      <w:pPr>
        <w:pBdr>
          <w:top w:val="single" w:color="CEB684" w:sz="6"/>
        </w:pBdr>
        <w:spacing w:before="32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TitanOS  ·  Confidential  ·  Pilot client: PCM Family Office</w:t>
      </w:r>
    </w:p>
    <w:sectPr>
      <w:pgSz w:w="12240" w:h="15840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4eb7662baa27782bb90aca57463e5ab6b7a476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2026-07-28T21:38:35.377Z</dcterms:created>
  <dcterms:modified xsi:type="dcterms:W3CDTF">2026-07-28T21:38:35.377Z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