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drawing>
          <wp:inline distT="0" distB="0" distL="0" distR="0">
            <wp:extent cx="1257300" cy="238125"/>
            <wp:effectExtent t="0" r="0" b="0" l="0"/>
            <wp:docPr id="1" name="TitanOS" descr="TitanOS logo" title="Tit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57300" cy="238125"/>
                    </a:xfrm>
                    <a:prstGeom prst="rect">
                      <a:avLst/>
                    </a:prstGeom>
                  </pic:spPr>
                </pic:pic>
              </a:graphicData>
            </a:graphic>
          </wp:inline>
        </w:drawing>
      </w:r>
    </w:p>
    <w:p>
      <w:pPr>
        <w:spacing w:after="90"/>
        <w:jc w:val="center"/>
      </w:pPr>
      <w:r>
        <w:rPr>
          <w:rFonts w:ascii="Calibri" w:cs="Calibri" w:eastAsia="Calibri" w:hAnsi="Calibri"/>
          <w:b/>
          <w:bCs/>
          <w:color w:val="CEB684"/>
          <w:sz w:val="15"/>
          <w:szCs w:val="15"/>
        </w:rPr>
        <w:t xml:space="preserve">P R I V A T E   W E A L T H   O P E R A T I N G   S Y S T E M</w:t>
      </w:r>
    </w:p>
    <w:p>
      <w:pPr>
        <w:pBdr>
          <w:top w:val="single" w:color="CEB684" w:sz="6"/>
        </w:pBdr>
        <w:spacing w:after="0" w:before="200"/>
        <w:jc w:val="center"/>
      </w:pPr>
      <w:r>
        <w:rPr>
          <w:rFonts w:ascii="Georgia" w:cs="Georgia" w:eastAsia="Georgia" w:hAnsi="Georgia"/>
          <w:b/>
          <w:bCs/>
          <w:color w:val="092B49"/>
          <w:sz w:val="32"/>
          <w:szCs w:val="32"/>
        </w:rPr>
        <w:t xml:space="preserve">New Tenant Onboarding Runbook</w:t>
      </w:r>
    </w:p>
    <w:p>
      <w:pPr>
        <w:spacing w:after="180"/>
        <w:jc w:val="center"/>
      </w:pPr>
      <w:r>
        <w:rPr>
          <w:rFonts w:ascii="Calibri" w:cs="Calibri" w:eastAsia="Calibri" w:hAnsi="Calibri"/>
          <w:b/>
          <w:bCs/>
          <w:color w:val="8B1A1A"/>
          <w:sz w:val="18"/>
          <w:szCs w:val="18"/>
        </w:rPr>
        <w:t xml:space="preserve">Internal — Operations.  Not for circulation to client firms.</w:t>
      </w:r>
    </w:p>
    <w:p>
      <w:pPr>
        <w:spacing w:after="110" w:before="0"/>
      </w:pPr>
      <w:r>
        <w:rPr>
          <w:rFonts w:ascii="Calibri" w:cs="Calibri" w:eastAsia="Calibri" w:hAnsi="Calibri"/>
          <w:color w:val="1E293B"/>
          <w:sz w:val="20"/>
          <w:szCs w:val="20"/>
        </w:rPr>
        <w:t xml:space="preserve">Every TitanOS client firm runs in its own fully isolated environment: a private database, a private document vault, its own AI pipeline and its own sending identity. Nothing is shared between firms. This runbook is the sequence for standing one up, in order, with the exact commands and the checks that prove each step worked.</w:t>
      </w:r>
    </w:p>
    <w:p>
      <w:pPr>
        <w:spacing w:after="110" w:before="0"/>
      </w:pPr>
      <w:r>
        <w:rPr>
          <w:rFonts w:ascii="Calibri" w:cs="Calibri" w:eastAsia="Calibri" w:hAnsi="Calibri"/>
          <w:i/>
          <w:iCs/>
          <w:color w:val="5A6E84"/>
          <w:sz w:val="18"/>
          <w:szCs w:val="18"/>
        </w:rPr>
        <w:t xml:space="preserve">Revised 28 July 2026. Reflects the platform as deployed: workflows, outbound sending, and per-tenant sending domains.</w:t>
      </w:r>
    </w:p>
    <w:p>
      <w:pPr>
        <w:pBdr>
          <w:bottom w:val="single" w:color="CEB684" w:sz="8"/>
        </w:pBdr>
        <w:spacing w:after="130" w:before="320"/>
      </w:pPr>
      <w:r>
        <w:rPr>
          <w:rFonts w:ascii="Georgia" w:cs="Georgia" w:eastAsia="Georgia" w:hAnsi="Georgia"/>
          <w:b/>
          <w:bCs/>
          <w:color w:val="092B49"/>
          <w:sz w:val="26"/>
          <w:szCs w:val="26"/>
        </w:rPr>
        <w:t xml:space="preserve">Read this first</w:t>
      </w:r>
    </w:p>
    <w:p>
      <w:pPr>
        <w:pBdr>
          <w:left w:val="single" w:color="E09A9A" w:sz="18"/>
        </w:pBdr>
        <w:shd w:fill="FDEAEA" w:val="clear"/>
        <w:spacing w:after="160" w:before="120"/>
        <w:ind w:left="200" w:right="120"/>
      </w:pPr>
      <w:r>
        <w:rPr>
          <w:rFonts w:ascii="Calibri" w:cs="Calibri" w:eastAsia="Calibri" w:hAnsi="Calibri"/>
          <w:i/>
          <w:iCs/>
          <w:color w:val="8B1A1A"/>
          <w:sz w:val="20"/>
          <w:szCs w:val="20"/>
        </w:rPr>
        <w:t xml:space="preserve">The repository does not yet contain a complete schema baseline. PCM production has 22 recorded migrations; five are checked in. The base schema — table definitions, row-level-security helper functions, family scoping, the Partner role, scheduled prompts and the cron job — exists only in that project's migration history. You therefore cannot provision a new tenant from the repository alone today. Step 2 covers the method that does work, and closing this gap is the single highest-value fix to the onboarding process.</w:t>
      </w:r>
    </w:p>
    <w:p>
      <w:pPr>
        <w:spacing w:after="60" w:before="0"/>
      </w:pPr>
      <w:r>
        <w:rPr>
          <w:rFonts w:ascii="Calibri" w:cs="Calibri" w:eastAsia="Calibri" w:hAnsi="Calibri"/>
          <w:color w:val="1E293B"/>
          <w:sz w:val="21"/>
          <w:szCs w:val="21"/>
        </w:rPr>
        <w:t xml:space="preserve">Two other things worth knowing before you begin:</w:t>
      </w:r>
    </w:p>
    <w:p>
      <w:pPr>
        <w:pStyle w:val="ListParagraph"/>
        <w:numPr>
          <w:ilvl w:val="0"/>
          <w:numId w:val="2"/>
        </w:numPr>
        <w:spacing w:after="70"/>
      </w:pPr>
      <w:r>
        <w:rPr>
          <w:rFonts w:ascii="Calibri" w:cs="Calibri" w:eastAsia="Calibri" w:hAnsi="Calibri"/>
          <w:color w:val="1E293B"/>
          <w:sz w:val="20"/>
          <w:szCs w:val="20"/>
        </w:rPr>
        <w:t xml:space="preserve">Two edge functions — run-scheduled-prompts and admin-set-password — are deployed but have no source in the repository. Copy them from a reference project rather than expecting to find them in git.</w:t>
      </w:r>
    </w:p>
    <w:p>
      <w:pPr>
        <w:pStyle w:val="ListParagraph"/>
        <w:numPr>
          <w:ilvl w:val="0"/>
          <w:numId w:val="2"/>
        </w:numPr>
        <w:spacing w:after="70"/>
      </w:pPr>
      <w:r>
        <w:rPr>
          <w:rFonts w:ascii="Calibri" w:cs="Calibri" w:eastAsia="Calibri" w:hAnsi="Calibri"/>
          <w:color w:val="1E293B"/>
          <w:sz w:val="20"/>
          <w:szCs w:val="20"/>
        </w:rPr>
        <w:t xml:space="preserve">A tenant cannot send email until its domain is verified. This is enforced, not advisory: sender_verified defaults to false and the send function refuses every request while it is. Plan the DNS work early, because it is the one step with a waiting period you do not control.</w:t>
      </w:r>
    </w:p>
    <w:p>
      <w:pPr>
        <w:pBdr>
          <w:bottom w:val="single" w:color="CEB684" w:sz="8"/>
        </w:pBdr>
        <w:spacing w:after="130" w:before="320"/>
      </w:pPr>
      <w:r>
        <w:rPr>
          <w:rFonts w:ascii="Georgia" w:cs="Georgia" w:eastAsia="Georgia" w:hAnsi="Georgia"/>
          <w:b/>
          <w:bCs/>
          <w:color w:val="092B49"/>
          <w:sz w:val="26"/>
          <w:szCs w:val="26"/>
        </w:rPr>
        <w:t xml:space="preserve">Provisioning sequence</w:t>
      </w:r>
    </w:p>
    <w:p>
      <w:pPr>
        <w:spacing w:after="120" w:before="0"/>
      </w:pPr>
      <w:r>
        <w:rPr>
          <w:rFonts w:ascii="Calibri" w:cs="Calibri" w:eastAsia="Calibri" w:hAnsi="Calibri"/>
          <w:color w:val="1E293B"/>
          <w:sz w:val="21"/>
          <w:szCs w:val="21"/>
        </w:rPr>
        <w:t xml:space="preserve">Steps 1–6 are ours and can be done back to back. Steps 7 and 9 involve the firm and have real-world latency, so start them early even though they appear late in the list.</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520"/>
        <w:gridCol w:w="3700"/>
        <w:gridCol w:w="1700"/>
        <w:gridCol w:w="1300"/>
        <w:gridCol w:w="3020"/>
      </w:tblGrid>
      <w:tr>
        <w:trPr>
          <w:tblHeader/>
        </w:trPr>
        <w:tc>
          <w:tcPr>
            <w:tcW w:type="dxa" w:w="52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w:t>
            </w:r>
          </w:p>
        </w:tc>
        <w:tc>
          <w:tcPr>
            <w:tcW w:type="dxa" w:w="37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Step</w:t>
            </w:r>
          </w:p>
        </w:tc>
        <w:tc>
          <w:tcPr>
            <w:tcW w:type="dxa" w:w="17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Owner</w:t>
            </w:r>
          </w:p>
        </w:tc>
        <w:tc>
          <w:tcPr>
            <w:tcW w:type="dxa" w:w="13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Time</w:t>
            </w:r>
          </w:p>
        </w:tc>
        <w:tc>
          <w:tcPr>
            <w:tcW w:type="dxa" w:w="302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Blocks</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1</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Create the Supabase project</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TitanOS</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~10 min</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everything</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2</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Apply the schema baseline</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TitanOS</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~15 min</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everything</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3</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Apply the feature migrations</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TitanOS</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~5 min</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workflows, sending</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4</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Set service secrets</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TitanOS</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~5 min</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AI, email</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5</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Deploy the edge functions</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TitanOS</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~20 min</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AI, sending</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6</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Seed the starter playbooks</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TitanOS</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~2 min</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workflows</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7</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Verify the sending domain</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Firm + TitanOS</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b/>
                <w:bCs/>
                <w:color w:val="1E293B"/>
                <w:sz w:val="19"/>
                <w:szCs w:val="19"/>
              </w:rPr>
              <w:t xml:space="preserve">DNS wait</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all outbound mail</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8</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Deploy the branded frontend</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TitanOS</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~15 min</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access</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9</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Connect the firm's subdomain</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Firm</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b/>
                <w:bCs/>
                <w:color w:val="1E293B"/>
                <w:sz w:val="19"/>
                <w:szCs w:val="19"/>
              </w:rPr>
              <w:t xml:space="preserve">DNS wait</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branded access</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10</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Create users and roles</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TitanOS + Firm</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~30 min</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use</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11</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Load families and designate primaries</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TitanOS + Firm</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1–2 hrs</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workflows, CC</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12</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Run pre-flight checks and sign off</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TitanOS</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~20 min</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go-live</w:t>
            </w:r>
          </w:p>
        </w:tc>
      </w:tr>
    </w:tbl>
    <w:p>
      <w:pPr>
        <w:pBdr>
          <w:bottom w:val="single" w:color="CEB684" w:sz="8"/>
        </w:pBdr>
        <w:spacing w:after="130" w:before="320"/>
      </w:pPr>
      <w:r>
        <w:rPr>
          <w:rFonts w:ascii="Georgia" w:cs="Georgia" w:eastAsia="Georgia" w:hAnsi="Georgia"/>
          <w:b/>
          <w:bCs/>
          <w:color w:val="092B49"/>
          <w:sz w:val="26"/>
          <w:szCs w:val="26"/>
        </w:rPr>
        <w:t xml:space="preserve">1.  Create the Supabase project</w:t>
      </w:r>
    </w:p>
    <w:p>
      <w:pPr>
        <w:pStyle w:val="ListParagraph"/>
        <w:numPr>
          <w:ilvl w:val="0"/>
          <w:numId w:val="2"/>
        </w:numPr>
        <w:spacing w:after="70"/>
      </w:pPr>
      <w:r>
        <w:rPr>
          <w:rFonts w:ascii="Calibri" w:cs="Calibri" w:eastAsia="Calibri" w:hAnsi="Calibri"/>
          <w:color w:val="1E293B"/>
          <w:sz w:val="20"/>
          <w:szCs w:val="20"/>
        </w:rPr>
        <w:t xml:space="preserve">One project per firm. Name it for the firm; the project name cannot contain a hyphen in some flows, so prefer a single word.</w:t>
      </w:r>
    </w:p>
    <w:p>
      <w:pPr>
        <w:pStyle w:val="ListParagraph"/>
        <w:numPr>
          <w:ilvl w:val="0"/>
          <w:numId w:val="2"/>
        </w:numPr>
        <w:spacing w:after="70"/>
      </w:pPr>
      <w:r>
        <w:rPr>
          <w:rFonts w:ascii="Calibri" w:cs="Calibri" w:eastAsia="Calibri" w:hAnsi="Calibri"/>
          <w:color w:val="1E293B"/>
          <w:sz w:val="20"/>
          <w:szCs w:val="20"/>
        </w:rPr>
        <w:t xml:space="preserve">Choose the region nearest the firm's staff, not nearest you — it determines latency on every page load.</w:t>
      </w:r>
    </w:p>
    <w:p>
      <w:pPr>
        <w:pStyle w:val="ListParagraph"/>
        <w:numPr>
          <w:ilvl w:val="0"/>
          <w:numId w:val="2"/>
        </w:numPr>
        <w:spacing w:after="70"/>
      </w:pPr>
      <w:r>
        <w:rPr>
          <w:rFonts w:ascii="Calibri" w:cs="Calibri" w:eastAsia="Calibri" w:hAnsi="Calibri"/>
          <w:color w:val="1E293B"/>
          <w:sz w:val="20"/>
          <w:szCs w:val="20"/>
        </w:rPr>
        <w:t xml:space="preserve">Record the project URL and the anon (publishable) key immediately. You will need both for the frontend in step 8, and the anon key is awkward to find later.</w:t>
      </w:r>
    </w:p>
    <w:p>
      <w:pPr>
        <w:pBdr>
          <w:left w:val="single" w:color="CEB684" w:sz="18"/>
        </w:pBdr>
        <w:shd w:fill="F4F1EA" w:val="clear"/>
        <w:spacing w:after="160" w:before="120"/>
        <w:ind w:left="200" w:right="120"/>
      </w:pPr>
      <w:r>
        <w:rPr>
          <w:rFonts w:ascii="Calibri" w:cs="Calibri" w:eastAsia="Calibri" w:hAnsi="Calibri"/>
          <w:i/>
          <w:iCs/>
          <w:color w:val="092B49"/>
          <w:sz w:val="20"/>
          <w:szCs w:val="20"/>
        </w:rPr>
        <w:t xml:space="preserve">The service role key is never used by the frontend and must never appear in a Vercel variable. It belongs only in edge function secrets.</w:t>
      </w:r>
    </w:p>
    <w:p>
      <w:pPr>
        <w:pBdr>
          <w:bottom w:val="single" w:color="CEB684" w:sz="8"/>
        </w:pBdr>
        <w:spacing w:after="130" w:before="320"/>
      </w:pPr>
      <w:r>
        <w:rPr>
          <w:rFonts w:ascii="Georgia" w:cs="Georgia" w:eastAsia="Georgia" w:hAnsi="Georgia"/>
          <w:b/>
          <w:bCs/>
          <w:color w:val="092B49"/>
          <w:sz w:val="26"/>
          <w:szCs w:val="26"/>
        </w:rPr>
        <w:t xml:space="preserve">2.  Apply the schema baseline</w:t>
      </w:r>
    </w:p>
    <w:p>
      <w:pPr>
        <w:spacing w:after="110" w:before="0"/>
      </w:pPr>
      <w:r>
        <w:rPr>
          <w:rFonts w:ascii="Calibri" w:cs="Calibri" w:eastAsia="Calibri" w:hAnsi="Calibri"/>
          <w:color w:val="1E293B"/>
          <w:sz w:val="21"/>
          <w:szCs w:val="21"/>
        </w:rPr>
        <w:t xml:space="preserve">Because the repository has no baseline (see Read this first), the reliable method is to copy the schema from a reference project. Use PCM production as the reference — it is the most current.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240"/>
      </w:tblGrid>
      <w:tr>
        <w:tc>
          <w:tcPr>
            <w:tcW w:type="dxa" w:w="10240"/>
            <w:tcBorders>
              <w:top w:val="single" w:color="D8CDB8" w:sz="4"/>
              <w:left w:val="single" w:color="092B49" w:sz="14"/>
              <w:bottom w:val="single" w:color="D8CDB8" w:sz="4"/>
              <w:right w:val="single" w:color="D8CDB8" w:sz="4"/>
            </w:tcBorders>
            <w:shd w:fill="F4F5F7" w:val="clear"/>
            <w:tcMar>
              <w:top w:type="dxa" w:w="110"/>
              <w:left w:type="dxa" w:w="140"/>
              <w:bottom w:type="dxa" w:w="110"/>
              <w:right w:type="dxa" w:w="120"/>
            </w:tcMar>
          </w:tcPr>
          <w:p>
            <w:pPr>
              <w:spacing w:after="0"/>
            </w:pPr>
            <w:r>
              <w:rPr>
                <w:rFonts w:ascii="Consolas" w:cs="Consolas" w:eastAsia="Consolas" w:hAnsi="Consolas"/>
                <w:color w:val="243447"/>
                <w:sz w:val="17"/>
                <w:szCs w:val="17"/>
              </w:rPr>
              <w:t xml:space="preserve"># Dump schema only, no data, from the reference project</w:t>
            </w:r>
          </w:p>
          <w:p>
            <w:pPr>
              <w:spacing w:after="0"/>
            </w:pPr>
            <w:r>
              <w:rPr>
                <w:rFonts w:ascii="Consolas" w:cs="Consolas" w:eastAsia="Consolas" w:hAnsi="Consolas"/>
                <w:color w:val="243447"/>
                <w:sz w:val="17"/>
                <w:szCs w:val="17"/>
              </w:rPr>
              <w:t xml:space="preserve">pg_dump --schema-only --no-owner --no-privileges \</w:t>
            </w:r>
          </w:p>
          <w:p>
            <w:pPr>
              <w:spacing w:after="0"/>
            </w:pPr>
            <w:r>
              <w:rPr>
                <w:rFonts w:ascii="Consolas" w:cs="Consolas" w:eastAsia="Consolas" w:hAnsi="Consolas"/>
                <w:color w:val="243447"/>
                <w:sz w:val="17"/>
                <w:szCs w:val="17"/>
              </w:rPr>
              <w:t xml:space="preserve">        --schema=public \</w:t>
            </w:r>
          </w:p>
          <w:p>
            <w:pPr>
              <w:spacing w:after="0"/>
            </w:pPr>
            <w:r>
              <w:rPr>
                <w:rFonts w:ascii="Consolas" w:cs="Consolas" w:eastAsia="Consolas" w:hAnsi="Consolas"/>
                <w:color w:val="243447"/>
                <w:sz w:val="17"/>
                <w:szCs w:val="17"/>
              </w:rPr>
              <w:t xml:space="preserve">        "$REFERENCE_DB_URL" &gt; baseline.sql</w:t>
            </w:r>
          </w:p>
          <w:p>
            <w:pPr>
              <w:spacing w:after="0"/>
            </w:pPr>
            <w:r>
              <w:rPr>
                <w:rFonts w:ascii="Consolas" w:cs="Consolas" w:eastAsia="Consolas" w:hAnsi="Consolas"/>
                <w:color w:val="243447"/>
                <w:sz w:val="17"/>
                <w:szCs w:val="17"/>
              </w:rPr>
              <w:t xml:space="preserve"/>
            </w:r>
          </w:p>
          <w:p>
            <w:pPr>
              <w:spacing w:after="0"/>
            </w:pPr>
            <w:r>
              <w:rPr>
                <w:rFonts w:ascii="Consolas" w:cs="Consolas" w:eastAsia="Consolas" w:hAnsi="Consolas"/>
                <w:color w:val="243447"/>
                <w:sz w:val="17"/>
                <w:szCs w:val="17"/>
              </w:rPr>
              <w:t xml:space="preserve"># Review it, then apply to the new project</w:t>
            </w:r>
          </w:p>
          <w:p>
            <w:pPr>
              <w:spacing w:after="0"/>
            </w:pPr>
            <w:r>
              <w:rPr>
                <w:rFonts w:ascii="Consolas" w:cs="Consolas" w:eastAsia="Consolas" w:hAnsi="Consolas"/>
                <w:color w:val="243447"/>
                <w:sz w:val="17"/>
                <w:szCs w:val="17"/>
              </w:rPr>
              <w:t xml:space="preserve">psql "$NEW_DB_URL" -f baseline.sql</w:t>
            </w:r>
          </w:p>
        </w:tc>
      </w:tr>
    </w:tbl>
    <w:p>
      <w:pPr>
        <w:spacing w:after="110" w:before="0"/>
      </w:pPr>
      <w:r>
        <w:rPr>
          <w:rFonts w:ascii="Calibri" w:cs="Calibri" w:eastAsia="Calibri" w:hAnsi="Calibri"/>
          <w:color w:val="1E293B"/>
          <w:sz w:val="21"/>
          <w:szCs w:val="21"/>
        </w:rPr>
        <w:t xml:space="preserve">Then confirm the pieces that everything else depends on. All three functions must exist and be SECURITY DEFINER, or every row-level-security policy will fail at query time — in front of a client, not at deploy time.</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240"/>
      </w:tblGrid>
      <w:tr>
        <w:tc>
          <w:tcPr>
            <w:tcW w:type="dxa" w:w="10240"/>
            <w:tcBorders>
              <w:top w:val="single" w:color="D8CDB8" w:sz="4"/>
              <w:left w:val="single" w:color="092B49" w:sz="14"/>
              <w:bottom w:val="single" w:color="D8CDB8" w:sz="4"/>
              <w:right w:val="single" w:color="D8CDB8" w:sz="4"/>
            </w:tcBorders>
            <w:shd w:fill="F4F5F7" w:val="clear"/>
            <w:tcMar>
              <w:top w:type="dxa" w:w="110"/>
              <w:left w:type="dxa" w:w="140"/>
              <w:bottom w:type="dxa" w:w="110"/>
              <w:right w:type="dxa" w:w="120"/>
            </w:tcMar>
          </w:tcPr>
          <w:p>
            <w:pPr>
              <w:spacing w:after="0"/>
            </w:pPr>
            <w:r>
              <w:rPr>
                <w:rFonts w:ascii="Consolas" w:cs="Consolas" w:eastAsia="Consolas" w:hAnsi="Consolas"/>
                <w:color w:val="243447"/>
                <w:sz w:val="17"/>
                <w:szCs w:val="17"/>
              </w:rPr>
              <w:t xml:space="preserve">select proname, prosecdef as security_definer</w:t>
            </w:r>
          </w:p>
          <w:p>
            <w:pPr>
              <w:spacing w:after="0"/>
            </w:pPr>
            <w:r>
              <w:rPr>
                <w:rFonts w:ascii="Consolas" w:cs="Consolas" w:eastAsia="Consolas" w:hAnsi="Consolas"/>
                <w:color w:val="243447"/>
                <w:sz w:val="17"/>
                <w:szCs w:val="17"/>
              </w:rPr>
              <w:t xml:space="preserve">  from pg_proc p join pg_namespace n on n.oid = p.pronamespace</w:t>
            </w:r>
          </w:p>
          <w:p>
            <w:pPr>
              <w:spacing w:after="0"/>
            </w:pPr>
            <w:r>
              <w:rPr>
                <w:rFonts w:ascii="Consolas" w:cs="Consolas" w:eastAsia="Consolas" w:hAnsi="Consolas"/>
                <w:color w:val="243447"/>
                <w:sz w:val="17"/>
                <w:szCs w:val="17"/>
              </w:rPr>
              <w:t xml:space="preserve"> where n.nspname = 'public'</w:t>
            </w:r>
          </w:p>
          <w:p>
            <w:pPr>
              <w:spacing w:after="0"/>
            </w:pPr>
            <w:r>
              <w:rPr>
                <w:rFonts w:ascii="Consolas" w:cs="Consolas" w:eastAsia="Consolas" w:hAnsi="Consolas"/>
                <w:color w:val="243447"/>
                <w:sz w:val="17"/>
                <w:szCs w:val="17"/>
              </w:rPr>
              <w:t xml:space="preserve">   and proname in ('is_admin','current_user_role',</w:t>
            </w:r>
          </w:p>
          <w:p>
            <w:pPr>
              <w:spacing w:after="0"/>
            </w:pPr>
            <w:r>
              <w:rPr>
                <w:rFonts w:ascii="Consolas" w:cs="Consolas" w:eastAsia="Consolas" w:hAnsi="Consolas"/>
                <w:color w:val="243447"/>
                <w:sz w:val="17"/>
                <w:szCs w:val="17"/>
              </w:rPr>
              <w:t xml:space="preserve">                   'current_user_allowed_family_ids');</w:t>
            </w:r>
          </w:p>
          <w:p>
            <w:pPr>
              <w:spacing w:after="0"/>
            </w:pPr>
            <w:r>
              <w:rPr>
                <w:rFonts w:ascii="Consolas" w:cs="Consolas" w:eastAsia="Consolas" w:hAnsi="Consolas"/>
                <w:color w:val="243447"/>
                <w:sz w:val="17"/>
                <w:szCs w:val="17"/>
              </w:rPr>
              <w:t xml:space="preserve">-- expect 3 rows, security_definer = true on each</w:t>
            </w:r>
          </w:p>
        </w:tc>
      </w:tr>
    </w:tbl>
    <w:p>
      <w:pPr>
        <w:pBdr>
          <w:bottom w:val="single" w:color="CEB684" w:sz="8"/>
        </w:pBdr>
        <w:spacing w:after="130" w:before="320"/>
      </w:pPr>
      <w:r>
        <w:rPr>
          <w:rFonts w:ascii="Georgia" w:cs="Georgia" w:eastAsia="Georgia" w:hAnsi="Georgia"/>
          <w:b/>
          <w:bCs/>
          <w:color w:val="092B49"/>
          <w:sz w:val="26"/>
          <w:szCs w:val="26"/>
        </w:rPr>
        <w:t xml:space="preserve">3.  Apply the feature migrations</w:t>
      </w:r>
    </w:p>
    <w:p>
      <w:pPr>
        <w:spacing w:after="110" w:before="0"/>
      </w:pPr>
      <w:r>
        <w:rPr>
          <w:rFonts w:ascii="Calibri" w:cs="Calibri" w:eastAsia="Calibri" w:hAnsi="Calibri"/>
          <w:color w:val="1E293B"/>
          <w:sz w:val="21"/>
          <w:szCs w:val="21"/>
        </w:rPr>
        <w:t xml:space="preserve">These are in the repository, under supabase/migrations. Apply in filename order.</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4200"/>
        <w:gridCol w:w="6040"/>
      </w:tblGrid>
      <w:tr>
        <w:trPr>
          <w:tblHeader/>
        </w:trPr>
        <w:tc>
          <w:tcPr>
            <w:tcW w:type="dxa" w:w="42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File</w:t>
            </w:r>
          </w:p>
        </w:tc>
        <w:tc>
          <w:tcPr>
            <w:tcW w:type="dxa" w:w="604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What it adds</w:t>
            </w:r>
          </w:p>
        </w:tc>
      </w:tr>
      <w:tr>
        <w:tc>
          <w:tcPr>
            <w:tcW w:type="dxa" w:w="4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20260728_workflows.sql</w:t>
            </w:r>
          </w:p>
        </w:tc>
        <w:tc>
          <w:tcPr>
            <w:tcW w:type="dxa" w:w="60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Obligations, playbook templates, cycles and cycle steps, with RLS</w:t>
            </w:r>
          </w:p>
        </w:tc>
      </w:tr>
      <w:tr>
        <w:tc>
          <w:tcPr>
            <w:tcW w:type="dxa" w:w="4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20260728_workflows_starter_templates.sql</w:t>
            </w:r>
          </w:p>
        </w:tc>
        <w:tc>
          <w:tcPr>
            <w:tcW w:type="dxa" w:w="60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The four playbooks that ship with the product (see step 6)</w:t>
            </w:r>
          </w:p>
        </w:tc>
      </w:tr>
      <w:tr>
        <w:tc>
          <w:tcPr>
            <w:tcW w:type="dxa" w:w="4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20260728_primary_contact_cc.sql</w:t>
            </w:r>
          </w:p>
        </w:tc>
        <w:tc>
          <w:tcPr>
            <w:tcW w:type="dxa" w:w="60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contacts.is_primary, one-per-family constraint, and the draft CC line</w:t>
            </w:r>
          </w:p>
        </w:tc>
      </w:tr>
      <w:tr>
        <w:tc>
          <w:tcPr>
            <w:tcW w:type="dxa" w:w="4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20260728_outbound_email.sql</w:t>
            </w:r>
          </w:p>
        </w:tc>
        <w:tc>
          <w:tcPr>
            <w:tcW w:type="dxa" w:w="60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Sending identity, send-outcome columns, known-recipient lookup</w:t>
            </w:r>
          </w:p>
        </w:tc>
      </w:tr>
      <w:tr>
        <w:tc>
          <w:tcPr>
            <w:tcW w:type="dxa" w:w="4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20260728_playbooks_uhnw_batch2.sql</w:t>
            </w:r>
          </w:p>
        </w:tc>
        <w:tc>
          <w:tcPr>
            <w:tcW w:type="dxa" w:w="60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Five further playbooks, and the obligation kinds they need</w:t>
            </w:r>
          </w:p>
        </w:tc>
      </w:tr>
    </w:tbl>
    <w:p>
      <w:pPr>
        <w:pBdr>
          <w:left w:val="single" w:color="CEB684" w:sz="18"/>
        </w:pBdr>
        <w:shd w:fill="F4F1EA" w:val="clear"/>
        <w:spacing w:after="160" w:before="120"/>
        <w:ind w:left="200" w:right="120"/>
      </w:pPr>
      <w:r>
        <w:rPr>
          <w:rFonts w:ascii="Calibri" w:cs="Calibri" w:eastAsia="Calibri" w:hAnsi="Calibri"/>
          <w:i/>
          <w:iCs/>
          <w:color w:val="092B49"/>
          <w:sz w:val="20"/>
          <w:szCs w:val="20"/>
        </w:rPr>
        <w:t xml:space="preserve">There is no documents_property_section migration file, though PCM has that column. If the baseline you dumped in step 2 predates it, add the column manually — the frontend sends it on every document upload and inserts fail without it.</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240"/>
      </w:tblGrid>
      <w:tr>
        <w:tc>
          <w:tcPr>
            <w:tcW w:type="dxa" w:w="10240"/>
            <w:tcBorders>
              <w:top w:val="single" w:color="D8CDB8" w:sz="4"/>
              <w:left w:val="single" w:color="092B49" w:sz="14"/>
              <w:bottom w:val="single" w:color="D8CDB8" w:sz="4"/>
              <w:right w:val="single" w:color="D8CDB8" w:sz="4"/>
            </w:tcBorders>
            <w:shd w:fill="F4F5F7" w:val="clear"/>
            <w:tcMar>
              <w:top w:type="dxa" w:w="110"/>
              <w:left w:type="dxa" w:w="140"/>
              <w:bottom w:type="dxa" w:w="110"/>
              <w:right w:type="dxa" w:w="120"/>
            </w:tcMar>
          </w:tcPr>
          <w:p>
            <w:pPr>
              <w:spacing w:after="0"/>
            </w:pPr>
            <w:r>
              <w:rPr>
                <w:rFonts w:ascii="Consolas" w:cs="Consolas" w:eastAsia="Consolas" w:hAnsi="Consolas"/>
                <w:color w:val="243447"/>
                <w:sz w:val="17"/>
                <w:szCs w:val="17"/>
              </w:rPr>
              <w:t xml:space="preserve">alter table public.documents</w:t>
            </w:r>
          </w:p>
          <w:p>
            <w:pPr>
              <w:spacing w:after="0"/>
            </w:pPr>
            <w:r>
              <w:rPr>
                <w:rFonts w:ascii="Consolas" w:cs="Consolas" w:eastAsia="Consolas" w:hAnsi="Consolas"/>
                <w:color w:val="243447"/>
                <w:sz w:val="17"/>
                <w:szCs w:val="17"/>
              </w:rPr>
              <w:t xml:space="preserve">  add column if not exists property_section text;</w:t>
            </w:r>
          </w:p>
          <w:p>
            <w:pPr>
              <w:spacing w:after="0"/>
            </w:pPr>
            <w:r>
              <w:rPr>
                <w:rFonts w:ascii="Consolas" w:cs="Consolas" w:eastAsia="Consolas" w:hAnsi="Consolas"/>
                <w:color w:val="243447"/>
                <w:sz w:val="17"/>
                <w:szCs w:val="17"/>
              </w:rPr>
              <w:t xml:space="preserve">create index if not exists documents_property_section_idx</w:t>
            </w:r>
          </w:p>
          <w:p>
            <w:pPr>
              <w:spacing w:after="0"/>
            </w:pPr>
            <w:r>
              <w:rPr>
                <w:rFonts w:ascii="Consolas" w:cs="Consolas" w:eastAsia="Consolas" w:hAnsi="Consolas"/>
                <w:color w:val="243447"/>
                <w:sz w:val="17"/>
                <w:szCs w:val="17"/>
              </w:rPr>
              <w:t xml:space="preserve">  on public.documents(property_id, property_section)</w:t>
            </w:r>
          </w:p>
          <w:p>
            <w:pPr>
              <w:spacing w:after="0"/>
            </w:pPr>
            <w:r>
              <w:rPr>
                <w:rFonts w:ascii="Consolas" w:cs="Consolas" w:eastAsia="Consolas" w:hAnsi="Consolas"/>
                <w:color w:val="243447"/>
                <w:sz w:val="17"/>
                <w:szCs w:val="17"/>
              </w:rPr>
              <w:t xml:space="preserve">  where property_section is not null;</w:t>
            </w:r>
          </w:p>
        </w:tc>
      </w:tr>
    </w:tbl>
    <w:p>
      <w:pPr>
        <w:pBdr>
          <w:bottom w:val="single" w:color="CEB684" w:sz="8"/>
        </w:pBdr>
        <w:spacing w:after="130" w:before="320"/>
      </w:pPr>
      <w:r>
        <w:rPr>
          <w:rFonts w:ascii="Georgia" w:cs="Georgia" w:eastAsia="Georgia" w:hAnsi="Georgia"/>
          <w:b/>
          <w:bCs/>
          <w:color w:val="092B49"/>
          <w:sz w:val="26"/>
          <w:szCs w:val="26"/>
        </w:rPr>
        <w:t xml:space="preserve">4.  Set service secrets</w:t>
      </w:r>
    </w:p>
    <w:p>
      <w:pPr>
        <w:spacing w:after="110" w:before="0"/>
      </w:pPr>
      <w:r>
        <w:rPr>
          <w:rFonts w:ascii="Calibri" w:cs="Calibri" w:eastAsia="Calibri" w:hAnsi="Calibri"/>
          <w:color w:val="1E293B"/>
          <w:sz w:val="21"/>
          <w:szCs w:val="21"/>
        </w:rPr>
        <w:t xml:space="preserve">Edge function secrets, set in the new project's dashboard. SUPABASE_URL, SUPABASE_ANON_KEY and SUPABASE_SERVICE_ROLE_KEY are injected automatically — do not set them by hand.</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3200"/>
        <w:gridCol w:w="1300"/>
        <w:gridCol w:w="5740"/>
      </w:tblGrid>
      <w:tr>
        <w:trPr>
          <w:tblHeader/>
        </w:trPr>
        <w:tc>
          <w:tcPr>
            <w:tcW w:type="dxa" w:w="32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Secret</w:t>
            </w:r>
          </w:p>
        </w:tc>
        <w:tc>
          <w:tcPr>
            <w:tcW w:type="dxa" w:w="13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Required</w:t>
            </w:r>
          </w:p>
        </w:tc>
        <w:tc>
          <w:tcPr>
            <w:tcW w:type="dxa" w:w="574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Purpose</w:t>
            </w:r>
          </w:p>
        </w:tc>
      </w:tr>
      <w:tr>
        <w:tc>
          <w:tcPr>
            <w:tcW w:type="dxa" w:w="3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ANTHROPIC_API_KEY</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b/>
                <w:bCs/>
                <w:color w:val="1E293B"/>
                <w:sz w:val="19"/>
                <w:szCs w:val="19"/>
              </w:rPr>
              <w:t xml:space="preserve">Yes</w:t>
            </w:r>
          </w:p>
        </w:tc>
        <w:tc>
          <w:tcPr>
            <w:tcW w:type="dxa" w:w="57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AI assistant, document reading, workflow drafting</w:t>
            </w:r>
          </w:p>
        </w:tc>
      </w:tr>
      <w:tr>
        <w:tc>
          <w:tcPr>
            <w:tcW w:type="dxa" w:w="3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RESEND_API_KEY</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b/>
                <w:bCs/>
                <w:color w:val="1E293B"/>
                <w:sz w:val="19"/>
                <w:szCs w:val="19"/>
              </w:rPr>
              <w:t xml:space="preserve">Yes</w:t>
            </w:r>
          </w:p>
        </w:tc>
        <w:tc>
          <w:tcPr>
            <w:tcW w:type="dxa" w:w="57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All outbound mail: workflow sends, reports, reminders</w:t>
            </w:r>
          </w:p>
        </w:tc>
      </w:tr>
      <w:tr>
        <w:tc>
          <w:tcPr>
            <w:tcW w:type="dxa" w:w="3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ADVISOR_EMAIL_FROM</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Yes</w:t>
            </w:r>
          </w:p>
        </w:tc>
        <w:tc>
          <w:tcPr>
            <w:tcW w:type="dxa" w:w="57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Sender for the client portal's email-my-adviser feature</w:t>
            </w:r>
          </w:p>
        </w:tc>
      </w:tr>
      <w:tr>
        <w:tc>
          <w:tcPr>
            <w:tcW w:type="dxa" w:w="3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ASSISTANT_MODEL</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No</w:t>
            </w:r>
          </w:p>
        </w:tc>
        <w:tc>
          <w:tcPr>
            <w:tcW w:type="dxa" w:w="57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Overrides the default model for assistant and drafting</w:t>
            </w:r>
          </w:p>
        </w:tc>
      </w:tr>
      <w:tr>
        <w:tc>
          <w:tcPr>
            <w:tcW w:type="dxa" w:w="3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DOC_EXTRACT_MODEL</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No</w:t>
            </w:r>
          </w:p>
        </w:tc>
        <w:tc>
          <w:tcPr>
            <w:tcW w:type="dxa" w:w="57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Overrides the model used to read uploaded documents</w:t>
            </w:r>
          </w:p>
        </w:tc>
      </w:tr>
      <w:tr>
        <w:tc>
          <w:tcPr>
            <w:tcW w:type="dxa" w:w="3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BRAND_NAME</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No</w:t>
            </w:r>
          </w:p>
        </w:tc>
        <w:tc>
          <w:tcPr>
            <w:tcW w:type="dxa" w:w="57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Legacy fallback only. The frontend now sends the firm name.</w:t>
            </w:r>
          </w:p>
        </w:tc>
      </w:tr>
    </w:tbl>
    <w:p>
      <w:pPr>
        <w:pBdr>
          <w:bottom w:val="single" w:color="CEB684" w:sz="8"/>
        </w:pBdr>
        <w:spacing w:after="130" w:before="320"/>
      </w:pPr>
      <w:r>
        <w:rPr>
          <w:rFonts w:ascii="Georgia" w:cs="Georgia" w:eastAsia="Georgia" w:hAnsi="Georgia"/>
          <w:b/>
          <w:bCs/>
          <w:color w:val="092B49"/>
          <w:sz w:val="26"/>
          <w:szCs w:val="26"/>
        </w:rPr>
        <w:t xml:space="preserve">5.  Deploy the edge functions</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3400"/>
        <w:gridCol w:w="900"/>
        <w:gridCol w:w="5940"/>
      </w:tblGrid>
      <w:tr>
        <w:trPr>
          <w:tblHeader/>
        </w:trPr>
        <w:tc>
          <w:tcPr>
            <w:tcW w:type="dxa" w:w="34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Function</w:t>
            </w:r>
          </w:p>
        </w:tc>
        <w:tc>
          <w:tcPr>
            <w:tcW w:type="dxa" w:w="9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JWT</w:t>
            </w:r>
          </w:p>
        </w:tc>
        <w:tc>
          <w:tcPr>
            <w:tcW w:type="dxa" w:w="594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Purpose</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family-ai-assistant</w:t>
            </w:r>
          </w:p>
        </w:tc>
        <w:tc>
          <w:tcPr>
            <w:tcW w:type="dxa" w:w="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Yes</w:t>
            </w:r>
          </w:p>
        </w:tc>
        <w:tc>
          <w:tcPr>
            <w:tcW w:type="dxa" w:w="59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Per-family assistant, scoped to one family's records</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extract-document-text</w:t>
            </w:r>
          </w:p>
        </w:tc>
        <w:tc>
          <w:tcPr>
            <w:tcW w:type="dxa" w:w="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Yes</w:t>
            </w:r>
          </w:p>
        </w:tc>
        <w:tc>
          <w:tcPr>
            <w:tcW w:type="dxa" w:w="59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Reads uploaded documents, including OCR for scans</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extract-property-fields</w:t>
            </w:r>
          </w:p>
        </w:tc>
        <w:tc>
          <w:tcPr>
            <w:tcW w:type="dxa" w:w="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Yes</w:t>
            </w:r>
          </w:p>
        </w:tc>
        <w:tc>
          <w:tcPr>
            <w:tcW w:type="dxa" w:w="59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Pre-fills property records from a statement</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send-advisor-email</w:t>
            </w:r>
          </w:p>
        </w:tc>
        <w:tc>
          <w:tcPr>
            <w:tcW w:type="dxa" w:w="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Yes</w:t>
            </w:r>
          </w:p>
        </w:tc>
        <w:tc>
          <w:tcPr>
            <w:tcW w:type="dxa" w:w="59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Client emails their adviser from the portal</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draft-workflow-step</w:t>
            </w:r>
          </w:p>
        </w:tc>
        <w:tc>
          <w:tcPr>
            <w:tcW w:type="dxa" w:w="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Yes</w:t>
            </w:r>
          </w:p>
        </w:tc>
        <w:tc>
          <w:tcPr>
            <w:tcW w:type="dxa" w:w="59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Prepares a workflow draft and parks it for approval</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send-workflow-step</w:t>
            </w:r>
          </w:p>
        </w:tc>
        <w:tc>
          <w:tcPr>
            <w:tcW w:type="dxa" w:w="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Yes</w:t>
            </w:r>
          </w:p>
        </w:tc>
        <w:tc>
          <w:tcPr>
            <w:tcW w:type="dxa" w:w="59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Sends an approved draft with its attachments</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send-task-reminders</w:t>
            </w:r>
          </w:p>
        </w:tc>
        <w:tc>
          <w:tcPr>
            <w:tcW w:type="dxa" w:w="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No</w:t>
            </w:r>
          </w:p>
        </w:tc>
        <w:tc>
          <w:tcPr>
            <w:tcW w:type="dxa" w:w="59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Scheduled reminders. No JWT: invoked by cron.</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run-scheduled-prompts</w:t>
            </w:r>
          </w:p>
        </w:tc>
        <w:tc>
          <w:tcPr>
            <w:tcW w:type="dxa" w:w="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No</w:t>
            </w:r>
          </w:p>
        </w:tc>
        <w:tc>
          <w:tcPr>
            <w:tcW w:type="dxa" w:w="59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Scheduled reports and concierge research. Cron-invoked.</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admin-set-password</w:t>
            </w:r>
          </w:p>
        </w:tc>
        <w:tc>
          <w:tcPr>
            <w:tcW w:type="dxa" w:w="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Yes</w:t>
            </w:r>
          </w:p>
        </w:tc>
        <w:tc>
          <w:tcPr>
            <w:tcW w:type="dxa" w:w="59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Admin sets a user's password</w:t>
            </w:r>
          </w:p>
        </w:tc>
      </w:tr>
    </w:tbl>
    <w:p>
      <w:pPr>
        <w:pBdr>
          <w:left w:val="single" w:color="CEB684" w:sz="18"/>
        </w:pBdr>
        <w:shd w:fill="F4F1EA" w:val="clear"/>
        <w:spacing w:after="160" w:before="120"/>
        <w:ind w:left="200" w:right="120"/>
      </w:pPr>
      <w:r>
        <w:rPr>
          <w:rFonts w:ascii="Calibri" w:cs="Calibri" w:eastAsia="Calibri" w:hAnsi="Calibri"/>
          <w:i/>
          <w:iCs/>
          <w:color w:val="092B49"/>
          <w:sz w:val="20"/>
          <w:szCs w:val="20"/>
        </w:rPr>
        <w:t xml:space="preserve">run-scheduled-prompts and admin-set-password have no source in the repository. Copy them from a reference project. Also re-create the cron schedule for run-scheduled-prompts — it is a database job and does not travel with the function.</w:t>
      </w:r>
    </w:p>
    <w:p>
      <w:pPr>
        <w:pBdr>
          <w:bottom w:val="single" w:color="CEB684" w:sz="8"/>
        </w:pBdr>
        <w:spacing w:after="130" w:before="320"/>
      </w:pPr>
      <w:r>
        <w:rPr>
          <w:rFonts w:ascii="Georgia" w:cs="Georgia" w:eastAsia="Georgia" w:hAnsi="Georgia"/>
          <w:b/>
          <w:bCs/>
          <w:color w:val="092B49"/>
          <w:sz w:val="26"/>
          <w:szCs w:val="26"/>
        </w:rPr>
        <w:t xml:space="preserve">6.  Seed the starter playbooks</w:t>
      </w:r>
    </w:p>
    <w:p>
      <w:pPr>
        <w:spacing w:after="110" w:before="0"/>
      </w:pPr>
      <w:r>
        <w:rPr>
          <w:rFonts w:ascii="Calibri" w:cs="Calibri" w:eastAsia="Calibri" w:hAnsi="Calibri"/>
          <w:color w:val="1E293B"/>
          <w:sz w:val="21"/>
          <w:szCs w:val="21"/>
        </w:rPr>
        <w:t xml:space="preserve">Nine playbooks ship with the product, spanning insurance, trusts and estates, tax and investments. They are rows rather than schema, so they are seeded. Running the files twice updates them in place rather than duplicating.</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3400"/>
        <w:gridCol w:w="2100"/>
        <w:gridCol w:w="800"/>
        <w:gridCol w:w="1300"/>
        <w:gridCol w:w="2640"/>
      </w:tblGrid>
      <w:tr>
        <w:trPr>
          <w:tblHeader/>
        </w:trPr>
        <w:tc>
          <w:tcPr>
            <w:tcW w:type="dxa" w:w="34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Playbook</w:t>
            </w:r>
          </w:p>
        </w:tc>
        <w:tc>
          <w:tcPr>
            <w:tcW w:type="dxa" w:w="21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Discipline</w:t>
            </w:r>
          </w:p>
        </w:tc>
        <w:tc>
          <w:tcPr>
            <w:tcW w:type="dxa" w:w="8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Steps</w:t>
            </w:r>
          </w:p>
        </w:tc>
        <w:tc>
          <w:tcPr>
            <w:tcW w:type="dxa" w:w="13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Lead time</w:t>
            </w:r>
          </w:p>
        </w:tc>
        <w:tc>
          <w:tcPr>
            <w:tcW w:type="dxa" w:w="264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Conditional</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ILIT Premium Funding</w:t>
            </w:r>
          </w:p>
        </w:tc>
        <w:tc>
          <w:tcPr>
            <w:tcW w:type="dxa" w:w="21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Insurance</w:t>
            </w:r>
          </w:p>
        </w:tc>
        <w:tc>
          <w:tcPr>
            <w:tcW w:type="dxa" w:w="8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9</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75 days</w:t>
            </w:r>
          </w:p>
        </w:tc>
        <w:tc>
          <w:tcPr>
            <w:tcW w:type="dxa" w:w="26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Crummey notices</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Property Insurance Renewal</w:t>
            </w:r>
          </w:p>
        </w:tc>
        <w:tc>
          <w:tcPr>
            <w:tcW w:type="dxa" w:w="21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Insurance</w:t>
            </w:r>
          </w:p>
        </w:tc>
        <w:tc>
          <w:tcPr>
            <w:tcW w:type="dxa" w:w="8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8</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75 days</w:t>
            </w:r>
          </w:p>
        </w:tc>
        <w:tc>
          <w:tcPr>
            <w:tcW w:type="dxa" w:w="26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Market check</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Life Insurance In-Force Review</w:t>
            </w:r>
          </w:p>
        </w:tc>
        <w:tc>
          <w:tcPr>
            <w:tcW w:type="dxa" w:w="21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Insurance</w:t>
            </w:r>
          </w:p>
        </w:tc>
        <w:tc>
          <w:tcPr>
            <w:tcW w:type="dxa" w:w="8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8</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90 days</w:t>
            </w:r>
          </w:p>
        </w:tc>
        <w:tc>
          <w:tcPr>
            <w:tcW w:type="dxa" w:w="26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Remediation, trust-owned</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GRAT Annuity Payment</w:t>
            </w:r>
          </w:p>
        </w:tc>
        <w:tc>
          <w:tcPr>
            <w:tcW w:type="dxa" w:w="21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Trusts &amp; Estates</w:t>
            </w:r>
          </w:p>
        </w:tc>
        <w:tc>
          <w:tcPr>
            <w:tcW w:type="dxa" w:w="8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8</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60 days</w:t>
            </w:r>
          </w:p>
        </w:tc>
        <w:tc>
          <w:tcPr>
            <w:tcW w:type="dxa" w:w="26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In-kind, final year</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Intra-Family Loan Interest</w:t>
            </w:r>
          </w:p>
        </w:tc>
        <w:tc>
          <w:tcPr>
            <w:tcW w:type="dxa" w:w="21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Trusts &amp; Estates</w:t>
            </w:r>
          </w:p>
        </w:tc>
        <w:tc>
          <w:tcPr>
            <w:tcW w:type="dxa" w:w="8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7</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45 days</w:t>
            </w:r>
          </w:p>
        </w:tc>
        <w:tc>
          <w:tcPr>
            <w:tcW w:type="dxa" w:w="26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Maturity within a year</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Required Minimum Distribution</w:t>
            </w:r>
          </w:p>
        </w:tc>
        <w:tc>
          <w:tcPr>
            <w:tcW w:type="dxa" w:w="21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Tax</w:t>
            </w:r>
          </w:p>
        </w:tc>
        <w:tc>
          <w:tcPr>
            <w:tcW w:type="dxa" w:w="8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8</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90 days</w:t>
            </w:r>
          </w:p>
        </w:tc>
        <w:tc>
          <w:tcPr>
            <w:tcW w:type="dxa" w:w="26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CPA sign-off, charitable</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Partnership K-1 Collection</w:t>
            </w:r>
          </w:p>
        </w:tc>
        <w:tc>
          <w:tcPr>
            <w:tcW w:type="dxa" w:w="21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Tax</w:t>
            </w:r>
          </w:p>
        </w:tc>
        <w:tc>
          <w:tcPr>
            <w:tcW w:type="dxa" w:w="8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8</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75 days</w:t>
            </w:r>
          </w:p>
        </w:tc>
        <w:tc>
          <w:tcPr>
            <w:tcW w:type="dxa" w:w="26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Quarterly Estimated Tax</w:t>
            </w:r>
          </w:p>
        </w:tc>
        <w:tc>
          <w:tcPr>
            <w:tcW w:type="dxa" w:w="21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Tax</w:t>
            </w:r>
          </w:p>
        </w:tc>
        <w:tc>
          <w:tcPr>
            <w:tcW w:type="dxa" w:w="8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5</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30 days</w:t>
            </w:r>
          </w:p>
        </w:tc>
        <w:tc>
          <w:tcPr>
            <w:tcW w:type="dxa" w:w="26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CPA sign-off</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Private Fund Capital Call</w:t>
            </w:r>
          </w:p>
        </w:tc>
        <w:tc>
          <w:tcPr>
            <w:tcW w:type="dxa" w:w="21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Investments</w:t>
            </w:r>
          </w:p>
        </w:tc>
        <w:tc>
          <w:tcPr>
            <w:tcW w:type="dxa" w:w="8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5</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12 days</w:t>
            </w:r>
          </w:p>
        </w:tc>
        <w:tc>
          <w:tcPr>
            <w:tcW w:type="dxa" w:w="26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w:t>
            </w:r>
          </w:p>
        </w:tc>
      </w:tr>
    </w:tbl>
    <w:p>
      <w:pPr>
        <w:spacing w:after="110" w:before="0"/>
      </w:pPr>
      <w:r>
        <w:rPr>
          <w:rFonts w:ascii="Calibri" w:cs="Calibri" w:eastAsia="Calibri" w:hAnsi="Calibri"/>
          <w:color w:val="1E293B"/>
          <w:sz w:val="21"/>
          <w:szCs w:val="21"/>
        </w:rPr>
        <w:t xml:space="preserve">Confirm they landed, and that they match the reference tenant exactly. Identical digests mean the step definitions transferred without corruption:</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240"/>
      </w:tblGrid>
      <w:tr>
        <w:tc>
          <w:tcPr>
            <w:tcW w:type="dxa" w:w="10240"/>
            <w:tcBorders>
              <w:top w:val="single" w:color="D8CDB8" w:sz="4"/>
              <w:left w:val="single" w:color="092B49" w:sz="14"/>
              <w:bottom w:val="single" w:color="D8CDB8" w:sz="4"/>
              <w:right w:val="single" w:color="D8CDB8" w:sz="4"/>
            </w:tcBorders>
            <w:shd w:fill="F4F5F7" w:val="clear"/>
            <w:tcMar>
              <w:top w:type="dxa" w:w="110"/>
              <w:left w:type="dxa" w:w="140"/>
              <w:bottom w:type="dxa" w:w="110"/>
              <w:right w:type="dxa" w:w="120"/>
            </w:tcMar>
          </w:tcPr>
          <w:p>
            <w:pPr>
              <w:spacing w:after="0"/>
            </w:pPr>
            <w:r>
              <w:rPr>
                <w:rFonts w:ascii="Consolas" w:cs="Consolas" w:eastAsia="Consolas" w:hAnsi="Consolas"/>
                <w:color w:val="243447"/>
                <w:sz w:val="17"/>
                <w:szCs w:val="17"/>
              </w:rPr>
              <w:t xml:space="preserve">select key, jsonb_array_length(steps) as steps,</w:t>
            </w:r>
          </w:p>
          <w:p>
            <w:pPr>
              <w:spacing w:after="0"/>
            </w:pPr>
            <w:r>
              <w:rPr>
                <w:rFonts w:ascii="Consolas" w:cs="Consolas" w:eastAsia="Consolas" w:hAnsi="Consolas"/>
                <w:color w:val="243447"/>
                <w:sz w:val="17"/>
                <w:szCs w:val="17"/>
              </w:rPr>
              <w:t xml:space="preserve">       md5(steps::text) as digest</w:t>
            </w:r>
          </w:p>
          <w:p>
            <w:pPr>
              <w:spacing w:after="0"/>
            </w:pPr>
            <w:r>
              <w:rPr>
                <w:rFonts w:ascii="Consolas" w:cs="Consolas" w:eastAsia="Consolas" w:hAnsi="Consolas"/>
                <w:color w:val="243447"/>
                <w:sz w:val="17"/>
                <w:szCs w:val="17"/>
              </w:rPr>
              <w:t xml:space="preserve">  from public.workflow_templates</w:t>
            </w:r>
          </w:p>
          <w:p>
            <w:pPr>
              <w:spacing w:after="0"/>
            </w:pPr>
            <w:r>
              <w:rPr>
                <w:rFonts w:ascii="Consolas" w:cs="Consolas" w:eastAsia="Consolas" w:hAnsi="Consolas"/>
                <w:color w:val="243447"/>
                <w:sz w:val="17"/>
                <w:szCs w:val="17"/>
              </w:rPr>
              <w:t xml:space="preserve"> where is_starter order by key;</w:t>
            </w:r>
          </w:p>
          <w:p>
            <w:pPr>
              <w:spacing w:after="0"/>
            </w:pPr>
            <w:r>
              <w:rPr>
                <w:rFonts w:ascii="Consolas" w:cs="Consolas" w:eastAsia="Consolas" w:hAnsi="Consolas"/>
                <w:color w:val="243447"/>
                <w:sz w:val="17"/>
                <w:szCs w:val="17"/>
              </w:rPr>
              <w:t xml:space="preserve">-- 9 rows, 66 steps total; digests must match the reference</w:t>
            </w:r>
          </w:p>
        </w:tc>
      </w:tr>
    </w:tbl>
    <w:p>
      <w:pPr>
        <w:pBdr>
          <w:bottom w:val="single" w:color="CEB684" w:sz="8"/>
        </w:pBdr>
        <w:spacing w:after="130" w:before="320"/>
      </w:pPr>
      <w:r>
        <w:rPr>
          <w:rFonts w:ascii="Georgia" w:cs="Georgia" w:eastAsia="Georgia" w:hAnsi="Georgia"/>
          <w:b/>
          <w:bCs/>
          <w:color w:val="092B49"/>
          <w:sz w:val="26"/>
          <w:szCs w:val="26"/>
        </w:rPr>
        <w:t xml:space="preserve">7.  Verify the sending domain</w:t>
      </w:r>
    </w:p>
    <w:p>
      <w:pPr>
        <w:spacing w:after="110" w:before="0"/>
      </w:pPr>
      <w:r>
        <w:rPr>
          <w:rFonts w:ascii="Calibri" w:cs="Calibri" w:eastAsia="Calibri" w:hAnsi="Calibri"/>
          <w:color w:val="1E293B"/>
          <w:sz w:val="21"/>
          <w:szCs w:val="21"/>
        </w:rPr>
        <w:t xml:space="preserve">Workflow correspondence goes out as the responsible Titan Expert, from their own address, on the firm's own verified domain — a banker or trustee should see the name of the person they deal with, not a shared robot mailbox and not another firm's domain. Providers verify domains rather than individual mailboxes, so one verified domain covers every Expert on it.</w:t>
      </w:r>
    </w:p>
    <w:p>
      <w:pPr>
        <w:spacing w:after="110" w:before="0"/>
      </w:pPr>
      <w:r>
        <w:rPr>
          <w:rFonts w:ascii="Calibri" w:cs="Calibri" w:eastAsia="Calibri" w:hAnsi="Calibri"/>
          <w:b/>
          <w:bCs/>
          <w:color w:val="1E293B"/>
          <w:sz w:val="21"/>
          <w:szCs w:val="21"/>
        </w:rPr>
        <w:t xml:space="preserve">Start this early. It is the only step gated on DNS propagation and on someone at the firm doing work.</w:t>
      </w:r>
    </w:p>
    <w:p>
      <w:pPr>
        <w:pStyle w:val="ListParagraph"/>
        <w:numPr>
          <w:ilvl w:val="0"/>
          <w:numId w:val="2"/>
        </w:numPr>
        <w:spacing w:after="70"/>
      </w:pPr>
      <w:r>
        <w:rPr>
          <w:rFonts w:ascii="Calibri" w:cs="Calibri" w:eastAsia="Calibri" w:hAnsi="Calibri"/>
          <w:color w:val="1E293B"/>
          <w:sz w:val="20"/>
          <w:szCs w:val="20"/>
        </w:rPr>
        <w:t xml:space="preserve">Agree the domain. It must be one the firm controls, because verification requires DNS records.</w:t>
      </w:r>
    </w:p>
    <w:p>
      <w:pPr>
        <w:pStyle w:val="ListParagraph"/>
        <w:numPr>
          <w:ilvl w:val="0"/>
          <w:numId w:val="2"/>
        </w:numPr>
        <w:spacing w:after="70"/>
      </w:pPr>
      <w:r>
        <w:rPr>
          <w:rFonts w:ascii="Calibri" w:cs="Calibri" w:eastAsia="Calibri" w:hAnsi="Calibri"/>
          <w:color w:val="1E293B"/>
          <w:sz w:val="20"/>
          <w:szCs w:val="20"/>
        </w:rPr>
        <w:t xml:space="preserve">Add the domain in Resend and give the firm the DKIM and SPF records it generates.</w:t>
      </w:r>
    </w:p>
    <w:p>
      <w:pPr>
        <w:pStyle w:val="ListParagraph"/>
        <w:numPr>
          <w:ilvl w:val="0"/>
          <w:numId w:val="2"/>
        </w:numPr>
        <w:spacing w:after="70"/>
      </w:pPr>
      <w:r>
        <w:rPr>
          <w:rFonts w:ascii="Calibri" w:cs="Calibri" w:eastAsia="Calibri" w:hAnsi="Calibri"/>
          <w:color w:val="1E293B"/>
          <w:sz w:val="20"/>
          <w:szCs w:val="20"/>
        </w:rPr>
        <w:t xml:space="preserve">Wait for the provider to report the domain as verified. Do not proceed on trust.</w:t>
      </w:r>
    </w:p>
    <w:p>
      <w:pPr>
        <w:pStyle w:val="ListParagraph"/>
        <w:numPr>
          <w:ilvl w:val="0"/>
          <w:numId w:val="2"/>
        </w:numPr>
        <w:spacing w:after="70"/>
      </w:pPr>
      <w:r>
        <w:rPr>
          <w:rFonts w:ascii="Calibri" w:cs="Calibri" w:eastAsia="Calibri" w:hAnsi="Calibri"/>
          <w:color w:val="1E293B"/>
          <w:sz w:val="20"/>
          <w:szCs w:val="20"/>
        </w:rPr>
        <w:t xml:space="preserve">Only then set the row below. sender_verified is never set by code — it records that a human confirmed it.</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240"/>
      </w:tblGrid>
      <w:tr>
        <w:tc>
          <w:tcPr>
            <w:tcW w:type="dxa" w:w="10240"/>
            <w:tcBorders>
              <w:top w:val="single" w:color="D8CDB8" w:sz="4"/>
              <w:left w:val="single" w:color="092B49" w:sz="14"/>
              <w:bottom w:val="single" w:color="D8CDB8" w:sz="4"/>
              <w:right w:val="single" w:color="D8CDB8" w:sz="4"/>
            </w:tcBorders>
            <w:shd w:fill="F4F5F7" w:val="clear"/>
            <w:tcMar>
              <w:top w:type="dxa" w:w="110"/>
              <w:left w:type="dxa" w:w="140"/>
              <w:bottom w:type="dxa" w:w="110"/>
              <w:right w:type="dxa" w:w="120"/>
            </w:tcMar>
          </w:tcPr>
          <w:p>
            <w:pPr>
              <w:spacing w:after="0"/>
            </w:pPr>
            <w:r>
              <w:rPr>
                <w:rFonts w:ascii="Consolas" w:cs="Consolas" w:eastAsia="Consolas" w:hAnsi="Consolas"/>
                <w:color w:val="243447"/>
                <w:sz w:val="17"/>
                <w:szCs w:val="17"/>
              </w:rPr>
              <w:t xml:space="preserve">update public.outbound_email_settings</w:t>
            </w:r>
          </w:p>
          <w:p>
            <w:pPr>
              <w:spacing w:after="0"/>
            </w:pPr>
            <w:r>
              <w:rPr>
                <w:rFonts w:ascii="Consolas" w:cs="Consolas" w:eastAsia="Consolas" w:hAnsi="Consolas"/>
                <w:color w:val="243447"/>
                <w:sz w:val="17"/>
                <w:szCs w:val="17"/>
              </w:rPr>
              <w:t xml:space="preserve">   set sending_domain   = 'clientfirm.com',</w:t>
            </w:r>
          </w:p>
          <w:p>
            <w:pPr>
              <w:spacing w:after="0"/>
            </w:pPr>
            <w:r>
              <w:rPr>
                <w:rFonts w:ascii="Consolas" w:cs="Consolas" w:eastAsia="Consolas" w:hAnsi="Consolas"/>
                <w:color w:val="243447"/>
                <w:sz w:val="17"/>
                <w:szCs w:val="17"/>
              </w:rPr>
              <w:t xml:space="preserve">       from_mode        = 'advisor',   -- send as each client's Expert</w:t>
            </w:r>
          </w:p>
          <w:p>
            <w:pPr>
              <w:spacing w:after="0"/>
            </w:pPr>
            <w:r>
              <w:rPr>
                <w:rFonts w:ascii="Consolas" w:cs="Consolas" w:eastAsia="Consolas" w:hAnsi="Consolas"/>
                <w:color w:val="243447"/>
                <w:sz w:val="17"/>
                <w:szCs w:val="17"/>
              </w:rPr>
              <w:t xml:space="preserve">       from_org_label   = 'Client Firm Wealth',</w:t>
            </w:r>
          </w:p>
          <w:p>
            <w:pPr>
              <w:spacing w:after="0"/>
            </w:pPr>
            <w:r>
              <w:rPr>
                <w:rFonts w:ascii="Consolas" w:cs="Consolas" w:eastAsia="Consolas" w:hAnsi="Consolas"/>
                <w:color w:val="243447"/>
                <w:sz w:val="17"/>
                <w:szCs w:val="17"/>
              </w:rPr>
              <w:t xml:space="preserve">       fixed_from_email = 'clientservices@clientfirm.com',  -- fallback</w:t>
            </w:r>
          </w:p>
          <w:p>
            <w:pPr>
              <w:spacing w:after="0"/>
            </w:pPr>
            <w:r>
              <w:rPr>
                <w:rFonts w:ascii="Consolas" w:cs="Consolas" w:eastAsia="Consolas" w:hAnsi="Consolas"/>
                <w:color w:val="243447"/>
                <w:sz w:val="17"/>
                <w:szCs w:val="17"/>
              </w:rPr>
              <w:t xml:space="preserve">       sender_verified  = true,        -- ONLY after provider confirms</w:t>
            </w:r>
          </w:p>
          <w:p>
            <w:pPr>
              <w:spacing w:after="0"/>
            </w:pPr>
            <w:r>
              <w:rPr>
                <w:rFonts w:ascii="Consolas" w:cs="Consolas" w:eastAsia="Consolas" w:hAnsi="Consolas"/>
                <w:color w:val="243447"/>
                <w:sz w:val="17"/>
                <w:szCs w:val="17"/>
              </w:rPr>
              <w:t xml:space="preserve">       updated_by       = 'you@titanos.com',</w:t>
            </w:r>
          </w:p>
          <w:p>
            <w:pPr>
              <w:spacing w:after="0"/>
            </w:pPr>
            <w:r>
              <w:rPr>
                <w:rFonts w:ascii="Consolas" w:cs="Consolas" w:eastAsia="Consolas" w:hAnsi="Consolas"/>
                <w:color w:val="243447"/>
                <w:sz w:val="17"/>
                <w:szCs w:val="17"/>
              </w:rPr>
              <w:t xml:space="preserve">       updated_at       = now()</w:t>
            </w:r>
          </w:p>
          <w:p>
            <w:pPr>
              <w:spacing w:after="0"/>
            </w:pPr>
            <w:r>
              <w:rPr>
                <w:rFonts w:ascii="Consolas" w:cs="Consolas" w:eastAsia="Consolas" w:hAnsi="Consolas"/>
                <w:color w:val="243447"/>
                <w:sz w:val="17"/>
                <w:szCs w:val="17"/>
              </w:rPr>
              <w:t xml:space="preserve"> where id;</w:t>
            </w:r>
          </w:p>
        </w:tc>
      </w:tr>
    </w:tbl>
    <w:p>
      <w:pPr>
        <w:spacing w:after="110" w:before="0"/>
      </w:pPr>
      <w:r>
        <w:rPr>
          <w:rFonts w:ascii="Calibri" w:cs="Calibri" w:eastAsia="Calibri" w:hAnsi="Calibri"/>
          <w:color w:val="1E293B"/>
          <w:sz w:val="21"/>
          <w:szCs w:val="21"/>
        </w:rPr>
        <w:t xml:space="preserve">Then catch any Expert whose address is not on the verified domain. Their sends fall back to the firm address, or are refused if none is set. Far better to find this now than on a live premium deadline:</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240"/>
      </w:tblGrid>
      <w:tr>
        <w:tc>
          <w:tcPr>
            <w:tcW w:type="dxa" w:w="10240"/>
            <w:tcBorders>
              <w:top w:val="single" w:color="D8CDB8" w:sz="4"/>
              <w:left w:val="single" w:color="092B49" w:sz="14"/>
              <w:bottom w:val="single" w:color="D8CDB8" w:sz="4"/>
              <w:right w:val="single" w:color="D8CDB8" w:sz="4"/>
            </w:tcBorders>
            <w:shd w:fill="F4F5F7" w:val="clear"/>
            <w:tcMar>
              <w:top w:type="dxa" w:w="110"/>
              <w:left w:type="dxa" w:w="140"/>
              <w:bottom w:type="dxa" w:w="110"/>
              <w:right w:type="dxa" w:w="120"/>
            </w:tcMar>
          </w:tcPr>
          <w:p>
            <w:pPr>
              <w:spacing w:after="0"/>
            </w:pPr>
            <w:r>
              <w:rPr>
                <w:rFonts w:ascii="Consolas" w:cs="Consolas" w:eastAsia="Consolas" w:hAnsi="Consolas"/>
                <w:color w:val="243447"/>
                <w:sz w:val="17"/>
                <w:szCs w:val="17"/>
              </w:rPr>
              <w:t xml:space="preserve">select f.name, f.advisor_email</w:t>
            </w:r>
          </w:p>
          <w:p>
            <w:pPr>
              <w:spacing w:after="0"/>
            </w:pPr>
            <w:r>
              <w:rPr>
                <w:rFonts w:ascii="Consolas" w:cs="Consolas" w:eastAsia="Consolas" w:hAnsi="Consolas"/>
                <w:color w:val="243447"/>
                <w:sz w:val="17"/>
                <w:szCs w:val="17"/>
              </w:rPr>
              <w:t xml:space="preserve">  from public.families f</w:t>
            </w:r>
          </w:p>
          <w:p>
            <w:pPr>
              <w:spacing w:after="0"/>
            </w:pPr>
            <w:r>
              <w:rPr>
                <w:rFonts w:ascii="Consolas" w:cs="Consolas" w:eastAsia="Consolas" w:hAnsi="Consolas"/>
                <w:color w:val="243447"/>
                <w:sz w:val="17"/>
                <w:szCs w:val="17"/>
              </w:rPr>
              <w:t xml:space="preserve"> where f.advisor_email is not null</w:t>
            </w:r>
          </w:p>
          <w:p>
            <w:pPr>
              <w:spacing w:after="0"/>
            </w:pPr>
            <w:r>
              <w:rPr>
                <w:rFonts w:ascii="Consolas" w:cs="Consolas" w:eastAsia="Consolas" w:hAnsi="Consolas"/>
                <w:color w:val="243447"/>
                <w:sz w:val="17"/>
                <w:szCs w:val="17"/>
              </w:rPr>
              <w:t xml:space="preserve">   and lower(split_part(f.advisor_email,'@',2)) &lt;&gt;</w:t>
            </w:r>
          </w:p>
          <w:p>
            <w:pPr>
              <w:spacing w:after="0"/>
            </w:pPr>
            <w:r>
              <w:rPr>
                <w:rFonts w:ascii="Consolas" w:cs="Consolas" w:eastAsia="Consolas" w:hAnsi="Consolas"/>
                <w:color w:val="243447"/>
                <w:sz w:val="17"/>
                <w:szCs w:val="17"/>
              </w:rPr>
              <w:t xml:space="preserve">       (select lower(sending_domain)</w:t>
            </w:r>
          </w:p>
          <w:p>
            <w:pPr>
              <w:spacing w:after="0"/>
            </w:pPr>
            <w:r>
              <w:rPr>
                <w:rFonts w:ascii="Consolas" w:cs="Consolas" w:eastAsia="Consolas" w:hAnsi="Consolas"/>
                <w:color w:val="243447"/>
                <w:sz w:val="17"/>
                <w:szCs w:val="17"/>
              </w:rPr>
              <w:t xml:space="preserve">          from public.outbound_email_settings);</w:t>
            </w:r>
          </w:p>
          <w:p>
            <w:pPr>
              <w:spacing w:after="0"/>
            </w:pPr>
            <w:r>
              <w:rPr>
                <w:rFonts w:ascii="Consolas" w:cs="Consolas" w:eastAsia="Consolas" w:hAnsi="Consolas"/>
                <w:color w:val="243447"/>
                <w:sz w:val="17"/>
                <w:szCs w:val="17"/>
              </w:rPr>
              <w:t xml:space="preserve">-- expect zero rows</w:t>
            </w:r>
          </w:p>
        </w:tc>
      </w:tr>
    </w:tbl>
    <w:p>
      <w:pPr>
        <w:pBdr>
          <w:left w:val="single" w:color="CEB684" w:sz="18"/>
        </w:pBdr>
        <w:shd w:fill="F4F1EA" w:val="clear"/>
        <w:spacing w:after="160" w:before="120"/>
        <w:ind w:left="200" w:right="120"/>
      </w:pPr>
      <w:r>
        <w:rPr>
          <w:rFonts w:ascii="Calibri" w:cs="Calibri" w:eastAsia="Calibri" w:hAnsi="Calibri"/>
          <w:i/>
          <w:iCs/>
          <w:color w:val="092B49"/>
          <w:sz w:val="20"/>
          <w:szCs w:val="20"/>
        </w:rPr>
        <w:t xml:space="preserve">While sender_verified is false the platform still drafts and approves normally — it simply refuses to send, with a message naming the reason. That is the intended state for a tenant mid-onboarding, so you can demonstrate the workflow before DNS is done.</w:t>
      </w:r>
    </w:p>
    <w:p>
      <w:pPr>
        <w:pBdr>
          <w:bottom w:val="single" w:color="CEB684" w:sz="8"/>
        </w:pBdr>
        <w:spacing w:after="130" w:before="320"/>
      </w:pPr>
      <w:r>
        <w:rPr>
          <w:rFonts w:ascii="Georgia" w:cs="Georgia" w:eastAsia="Georgia" w:hAnsi="Georgia"/>
          <w:b/>
          <w:bCs/>
          <w:color w:val="092B49"/>
          <w:sz w:val="26"/>
          <w:szCs w:val="26"/>
        </w:rPr>
        <w:t xml:space="preserve">8.  Deploy the branded frontend</w:t>
      </w:r>
    </w:p>
    <w:p>
      <w:pPr>
        <w:spacing w:after="110" w:before="0"/>
      </w:pPr>
      <w:r>
        <w:rPr>
          <w:rFonts w:ascii="Calibri" w:cs="Calibri" w:eastAsia="Calibri" w:hAnsi="Calibri"/>
          <w:color w:val="1E293B"/>
          <w:sz w:val="21"/>
          <w:szCs w:val="21"/>
        </w:rPr>
        <w:t xml:space="preserve">One codebase, one deployment per tenant. Only environment variables differ. Set these in Vercel before the first build — the brand tokens are baked into the HTML at build time, because link-preview crawlers do not execute JavaScript.</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3500"/>
        <w:gridCol w:w="3400"/>
        <w:gridCol w:w="3340"/>
      </w:tblGrid>
      <w:tr>
        <w:trPr>
          <w:tblHeader/>
        </w:trPr>
        <w:tc>
          <w:tcPr>
            <w:tcW w:type="dxa" w:w="35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Variable</w:t>
            </w:r>
          </w:p>
        </w:tc>
        <w:tc>
          <w:tcPr>
            <w:tcW w:type="dxa" w:w="34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Example</w:t>
            </w:r>
          </w:p>
        </w:tc>
        <w:tc>
          <w:tcPr>
            <w:tcW w:type="dxa" w:w="334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Notes</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VITE_SUPABASE_URL</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6"/>
                <w:szCs w:val="16"/>
              </w:rPr>
              <w:t xml:space="preserve">https://xxx.supabase.co</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From step 1</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VITE_SUPABASE_ANON_KEY</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6"/>
                <w:szCs w:val="16"/>
              </w:rPr>
              <w:t xml:space="preserve">eyJ…</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Anon key only, never service role</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VITE_BRAND_NAME</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Client Firm Wealth</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Also used as the drafting firm name</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VITE_BRAND_SHORT</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CFW</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Mobile app title</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VITE_BRAND_TAGLINE</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PRIVATE WEALTH OFFICE</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Rendered as text, not baked into the logo</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VITE_BRAND_LOGO_URL</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6"/>
                <w:szCs w:val="16"/>
              </w:rPr>
              <w:t xml:space="preserve">/cfw-logo-full.png</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Transparent PNG, wordmark without tagline</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VITE_BRAND_MARK_URL</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6"/>
                <w:szCs w:val="16"/>
              </w:rPr>
              <w:t xml:space="preserve">/cfw-mark.png</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Square mark for the assistant button</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VITE_BRAND_PRIMARY</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6"/>
                <w:szCs w:val="16"/>
              </w:rPr>
              <w:t xml:space="preserve">#253978</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Sample from a high-resolution original, not a screenshot</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VITE_BRAND_ACCENT</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6"/>
                <w:szCs w:val="16"/>
              </w:rPr>
              <w:t xml:space="preserve">#CEB684</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Secondary/accent colour</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VITE_BRAND_SITE_URL</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6"/>
                <w:szCs w:val="16"/>
              </w:rPr>
              <w:t xml:space="preserve">https://portal.clientfirm.com</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Required: link previews need absolute URLs</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VITE_BRAND_OG_IMAGE</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6"/>
                <w:szCs w:val="16"/>
              </w:rPr>
              <w:t xml:space="preserve">/cfw-og.png</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1200×630 share image</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VITE_BRAND_RUNTIME</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6"/>
                <w:szCs w:val="16"/>
              </w:rPr>
              <w:t xml:space="preserve">unset</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Set to 1 only for the demo instance</w:t>
            </w:r>
          </w:p>
        </w:tc>
      </w:tr>
    </w:tbl>
    <w:p>
      <w:pPr>
        <w:pBdr>
          <w:left w:val="single" w:color="CEB684" w:sz="18"/>
        </w:pBdr>
        <w:shd w:fill="F4F1EA" w:val="clear"/>
        <w:spacing w:after="160" w:before="120"/>
        <w:ind w:left="200" w:right="120"/>
      </w:pPr>
      <w:r>
        <w:rPr>
          <w:rFonts w:ascii="Calibri" w:cs="Calibri" w:eastAsia="Calibri" w:hAnsi="Calibri"/>
          <w:i/>
          <w:iCs/>
          <w:color w:val="092B49"/>
          <w:sz w:val="20"/>
          <w:szCs w:val="20"/>
        </w:rPr>
        <w:t xml:space="preserve">The build fails deliberately if any brand token is left unresolved, rather than shipping literal placeholder text into a page title or a link preview. A failed build here is the guard working.</w:t>
      </w:r>
    </w:p>
    <w:p>
      <w:pPr>
        <w:pBdr>
          <w:bottom w:val="single" w:color="CEB684" w:sz="8"/>
        </w:pBdr>
        <w:spacing w:after="130" w:before="320"/>
      </w:pPr>
      <w:r>
        <w:rPr>
          <w:rFonts w:ascii="Georgia" w:cs="Georgia" w:eastAsia="Georgia" w:hAnsi="Georgia"/>
          <w:b/>
          <w:bCs/>
          <w:color w:val="092B49"/>
          <w:sz w:val="26"/>
          <w:szCs w:val="26"/>
        </w:rPr>
        <w:t xml:space="preserve">9.  Connect the firm's subdomain</w:t>
      </w:r>
    </w:p>
    <w:p>
      <w:pPr>
        <w:pStyle w:val="ListParagraph"/>
        <w:numPr>
          <w:ilvl w:val="0"/>
          <w:numId w:val="2"/>
        </w:numPr>
        <w:spacing w:after="70"/>
      </w:pPr>
      <w:r>
        <w:rPr>
          <w:rFonts w:ascii="Calibri" w:cs="Calibri" w:eastAsia="Calibri" w:hAnsi="Calibri"/>
          <w:color w:val="1E293B"/>
          <w:sz w:val="20"/>
          <w:szCs w:val="20"/>
        </w:rPr>
        <w:t xml:space="preserve">The firm adds one CNAME record pointing their chosen subdomain (for example portal.clientfirm.com) at the Vercel deployment.</w:t>
      </w:r>
    </w:p>
    <w:p>
      <w:pPr>
        <w:pStyle w:val="ListParagraph"/>
        <w:numPr>
          <w:ilvl w:val="0"/>
          <w:numId w:val="2"/>
        </w:numPr>
        <w:spacing w:after="70"/>
      </w:pPr>
      <w:r>
        <w:rPr>
          <w:rFonts w:ascii="Calibri" w:cs="Calibri" w:eastAsia="Calibri" w:hAnsi="Calibri"/>
          <w:color w:val="1E293B"/>
          <w:sz w:val="20"/>
          <w:szCs w:val="20"/>
        </w:rPr>
        <w:t xml:space="preserve">Certificates are issued and renewed automatically once the record resolves.</w:t>
      </w:r>
    </w:p>
    <w:p>
      <w:pPr>
        <w:pStyle w:val="ListParagraph"/>
        <w:numPr>
          <w:ilvl w:val="0"/>
          <w:numId w:val="2"/>
        </w:numPr>
        <w:spacing w:after="70"/>
      </w:pPr>
      <w:r>
        <w:rPr>
          <w:rFonts w:ascii="Calibri" w:cs="Calibri" w:eastAsia="Calibri" w:hAnsi="Calibri"/>
          <w:color w:val="1E293B"/>
          <w:sz w:val="20"/>
          <w:szCs w:val="20"/>
        </w:rPr>
        <w:t xml:space="preserve">Confirm the deployed page title and share image show the firm's brand, not TitanOS defaults. Fetch the page and read the title tag; do not judge by the logo alone.</w:t>
      </w:r>
    </w:p>
    <w:p>
      <w:pPr>
        <w:pBdr>
          <w:bottom w:val="single" w:color="CEB684" w:sz="8"/>
        </w:pBdr>
        <w:spacing w:after="130" w:before="320"/>
      </w:pPr>
      <w:r>
        <w:rPr>
          <w:rFonts w:ascii="Georgia" w:cs="Georgia" w:eastAsia="Georgia" w:hAnsi="Georgia"/>
          <w:b/>
          <w:bCs/>
          <w:color w:val="092B49"/>
          <w:sz w:val="26"/>
          <w:szCs w:val="26"/>
        </w:rPr>
        <w:t xml:space="preserve">10.  Create users and roles</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4140"/>
      </w:tblGrid>
      <w:tr>
        <w:trPr>
          <w:tblHeader/>
        </w:trPr>
        <w:tc>
          <w:tcPr>
            <w:tcW w:type="dxa" w:w="19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Role</w:t>
            </w:r>
          </w:p>
        </w:tc>
        <w:tc>
          <w:tcPr>
            <w:tcW w:type="dxa" w:w="42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Sees</w:t>
            </w:r>
          </w:p>
        </w:tc>
        <w:tc>
          <w:tcPr>
            <w:tcW w:type="dxa" w:w="414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Can change</w:t>
            </w:r>
          </w:p>
        </w:tc>
      </w:tr>
      <w:tr>
        <w:tc>
          <w:tcPr>
            <w:tcW w:type="dxa" w:w="1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Admin</w:t>
            </w:r>
          </w:p>
        </w:tc>
        <w:tc>
          <w:tcPr>
            <w:tcW w:type="dxa" w:w="4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Everything in the firm</w:t>
            </w:r>
          </w:p>
        </w:tc>
        <w:tc>
          <w:tcPr>
            <w:tcW w:type="dxa" w:w="41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Everything, including branding and playbooks</w:t>
            </w:r>
          </w:p>
        </w:tc>
      </w:tr>
      <w:tr>
        <w:tc>
          <w:tcPr>
            <w:tcW w:type="dxa" w:w="1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 Expert</w:t>
            </w:r>
          </w:p>
        </w:tc>
        <w:tc>
          <w:tcPr>
            <w:tcW w:type="dxa" w:w="4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Only their own book of families</w:t>
            </w:r>
          </w:p>
        </w:tc>
        <w:tc>
          <w:tcPr>
            <w:tcW w:type="dxa" w:w="41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Their own families' records and workflows</w:t>
            </w:r>
          </w:p>
        </w:tc>
      </w:tr>
      <w:tr>
        <w:tc>
          <w:tcPr>
            <w:tcW w:type="dxa" w:w="1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Partner</w:t>
            </w:r>
          </w:p>
        </w:tc>
        <w:tc>
          <w:tcPr>
            <w:tcW w:type="dxa" w:w="4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Only families explicitly granted to them</w:t>
            </w:r>
          </w:p>
        </w:tc>
        <w:tc>
          <w:tcPr>
            <w:tcW w:type="dxa" w:w="41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Nothing. Read-only, plus document upload.</w:t>
            </w:r>
          </w:p>
        </w:tc>
      </w:tr>
      <w:tr>
        <w:tc>
          <w:tcPr>
            <w:tcW w:type="dxa" w:w="1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Client</w:t>
            </w:r>
          </w:p>
        </w:tc>
        <w:tc>
          <w:tcPr>
            <w:tcW w:type="dxa" w:w="4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Their own family only</w:t>
            </w:r>
          </w:p>
        </w:tc>
        <w:tc>
          <w:tcPr>
            <w:tcW w:type="dxa" w:w="41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Nothing</w:t>
            </w:r>
          </w:p>
        </w:tc>
      </w:tr>
    </w:tbl>
    <w:p>
      <w:pPr>
        <w:pStyle w:val="ListParagraph"/>
        <w:numPr>
          <w:ilvl w:val="0"/>
          <w:numId w:val="2"/>
        </w:numPr>
        <w:spacing w:after="70"/>
      </w:pPr>
      <w:r>
        <w:rPr>
          <w:rFonts w:ascii="Calibri" w:cs="Calibri" w:eastAsia="Calibri" w:hAnsi="Calibri"/>
          <w:color w:val="1E293B"/>
          <w:sz w:val="20"/>
          <w:szCs w:val="20"/>
        </w:rPr>
        <w:t xml:space="preserve">Roles are enforced in the database, not only in the menu. A Partner cannot approve a workflow step even by calling the API directly.</w:t>
      </w:r>
    </w:p>
    <w:p>
      <w:pPr>
        <w:pStyle w:val="ListParagraph"/>
        <w:numPr>
          <w:ilvl w:val="0"/>
          <w:numId w:val="2"/>
        </w:numPr>
        <w:spacing w:after="70"/>
      </w:pPr>
      <w:r>
        <w:rPr>
          <w:rFonts w:ascii="Calibri" w:cs="Calibri" w:eastAsia="Calibri" w:hAnsi="Calibri"/>
          <w:color w:val="1E293B"/>
          <w:sz w:val="20"/>
          <w:szCs w:val="20"/>
        </w:rPr>
        <w:t xml:space="preserve">Set each family's advisor_email to the responsible Expert. This drives both the workflow CC and the From address on outbound mail, so an error here has real consequences.</w:t>
      </w:r>
    </w:p>
    <w:p>
      <w:pPr>
        <w:pBdr>
          <w:bottom w:val="single" w:color="CEB684" w:sz="8"/>
        </w:pBdr>
        <w:spacing w:after="130" w:before="320"/>
      </w:pPr>
      <w:r>
        <w:rPr>
          <w:rFonts w:ascii="Georgia" w:cs="Georgia" w:eastAsia="Georgia" w:hAnsi="Georgia"/>
          <w:b/>
          <w:bCs/>
          <w:color w:val="092B49"/>
          <w:sz w:val="26"/>
          <w:szCs w:val="26"/>
        </w:rPr>
        <w:t xml:space="preserve">11.  Load families and designate primaries</w:t>
      </w:r>
    </w:p>
    <w:p>
      <w:pPr>
        <w:spacing w:after="110" w:before="0"/>
      </w:pPr>
      <w:r>
        <w:rPr>
          <w:rFonts w:ascii="Calibri" w:cs="Calibri" w:eastAsia="Calibri" w:hAnsi="Calibri"/>
          <w:color w:val="1E293B"/>
          <w:sz w:val="21"/>
          <w:szCs w:val="21"/>
        </w:rPr>
        <w:t xml:space="preserve">Every outbound workflow draft copies the family principal. Where several members have an email and none is marked primary, the platform copies nobody and says so on the draft — it does not guess, because putting client correspondence in front of the wrong family member is worse than no copy at all.</w:t>
      </w:r>
    </w:p>
    <w:p>
      <w:pPr>
        <w:spacing w:after="110" w:before="0"/>
      </w:pPr>
      <w:r>
        <w:rPr>
          <w:rFonts w:ascii="Calibri" w:cs="Calibri" w:eastAsia="Calibri" w:hAnsi="Calibri"/>
          <w:color w:val="1E293B"/>
          <w:sz w:val="21"/>
          <w:szCs w:val="21"/>
        </w:rPr>
        <w:t xml:space="preserve">Designate the principal with the star in the Members card, then confirm none are missing:</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240"/>
      </w:tblGrid>
      <w:tr>
        <w:tc>
          <w:tcPr>
            <w:tcW w:type="dxa" w:w="10240"/>
            <w:tcBorders>
              <w:top w:val="single" w:color="D8CDB8" w:sz="4"/>
              <w:left w:val="single" w:color="092B49" w:sz="14"/>
              <w:bottom w:val="single" w:color="D8CDB8" w:sz="4"/>
              <w:right w:val="single" w:color="D8CDB8" w:sz="4"/>
            </w:tcBorders>
            <w:shd w:fill="F4F5F7" w:val="clear"/>
            <w:tcMar>
              <w:top w:type="dxa" w:w="110"/>
              <w:left w:type="dxa" w:w="140"/>
              <w:bottom w:type="dxa" w:w="110"/>
              <w:right w:type="dxa" w:w="120"/>
            </w:tcMar>
          </w:tcPr>
          <w:p>
            <w:pPr>
              <w:spacing w:after="0"/>
            </w:pPr>
            <w:r>
              <w:rPr>
                <w:rFonts w:ascii="Consolas" w:cs="Consolas" w:eastAsia="Consolas" w:hAnsi="Consolas"/>
                <w:color w:val="243447"/>
                <w:sz w:val="17"/>
                <w:szCs w:val="17"/>
              </w:rPr>
              <w:t xml:space="preserve">select f.name as family,</w:t>
            </w:r>
          </w:p>
          <w:p>
            <w:pPr>
              <w:spacing w:after="0"/>
            </w:pPr>
            <w:r>
              <w:rPr>
                <w:rFonts w:ascii="Consolas" w:cs="Consolas" w:eastAsia="Consolas" w:hAnsi="Consolas"/>
                <w:color w:val="243447"/>
                <w:sz w:val="17"/>
                <w:szCs w:val="17"/>
              </w:rPr>
              <w:t xml:space="preserve">       coalesce(p.name,'*** NONE DESIGNATED ***') as principal,</w:t>
            </w:r>
          </w:p>
          <w:p>
            <w:pPr>
              <w:spacing w:after="0"/>
            </w:pPr>
            <w:r>
              <w:rPr>
                <w:rFonts w:ascii="Consolas" w:cs="Consolas" w:eastAsia="Consolas" w:hAnsi="Consolas"/>
                <w:color w:val="243447"/>
                <w:sz w:val="17"/>
                <w:szCs w:val="17"/>
              </w:rPr>
              <w:t xml:space="preserve">       p.email</w:t>
            </w:r>
          </w:p>
          <w:p>
            <w:pPr>
              <w:spacing w:after="0"/>
            </w:pPr>
            <w:r>
              <w:rPr>
                <w:rFonts w:ascii="Consolas" w:cs="Consolas" w:eastAsia="Consolas" w:hAnsi="Consolas"/>
                <w:color w:val="243447"/>
                <w:sz w:val="17"/>
                <w:szCs w:val="17"/>
              </w:rPr>
              <w:t xml:space="preserve">  from public.families f</w:t>
            </w:r>
          </w:p>
          <w:p>
            <w:pPr>
              <w:spacing w:after="0"/>
            </w:pPr>
            <w:r>
              <w:rPr>
                <w:rFonts w:ascii="Consolas" w:cs="Consolas" w:eastAsia="Consolas" w:hAnsi="Consolas"/>
                <w:color w:val="243447"/>
                <w:sz w:val="17"/>
                <w:szCs w:val="17"/>
              </w:rPr>
              <w:t xml:space="preserve">  left join lateral public.family_primary_contact(f.id) p on true</w:t>
            </w:r>
          </w:p>
          <w:p>
            <w:pPr>
              <w:spacing w:after="0"/>
            </w:pPr>
            <w:r>
              <w:rPr>
                <w:rFonts w:ascii="Consolas" w:cs="Consolas" w:eastAsia="Consolas" w:hAnsi="Consolas"/>
                <w:color w:val="243447"/>
                <w:sz w:val="17"/>
                <w:szCs w:val="17"/>
              </w:rPr>
              <w:t xml:space="preserve"> order by f.name;</w:t>
            </w:r>
          </w:p>
        </w:tc>
      </w:tr>
    </w:tbl>
    <w:p>
      <w:pPr>
        <w:spacing w:after="110" w:before="0"/>
      </w:pPr>
      <w:r>
        <w:rPr>
          <w:rFonts w:ascii="Calibri" w:cs="Calibri" w:eastAsia="Calibri" w:hAnsi="Calibri"/>
          <w:color w:val="1E293B"/>
          <w:sz w:val="21"/>
          <w:szCs w:val="21"/>
        </w:rPr>
        <w:t xml:space="preserve">Also add the firm's real counterparties — bankers, trustees, carriers, CPAs — to each family's contacts. Two reasons: drafts can then address them properly, and the send-time recipient check recognises them. An address the firm has no record of stops the send and asks for explicit confirmation.</w:t>
      </w:r>
    </w:p>
    <w:p>
      <w:pPr>
        <w:pBdr>
          <w:bottom w:val="single" w:color="CEB684" w:sz="8"/>
        </w:pBdr>
        <w:spacing w:after="130" w:before="320"/>
      </w:pPr>
      <w:r>
        <w:rPr>
          <w:rFonts w:ascii="Georgia" w:cs="Georgia" w:eastAsia="Georgia" w:hAnsi="Georgia"/>
          <w:b/>
          <w:bCs/>
          <w:color w:val="092B49"/>
          <w:sz w:val="26"/>
          <w:szCs w:val="26"/>
        </w:rPr>
        <w:t xml:space="preserve">12.  Pre-flight checks and sign-off</w:t>
      </w:r>
    </w:p>
    <w:p>
      <w:pPr>
        <w:spacing w:after="110" w:before="0"/>
      </w:pPr>
      <w:r>
        <w:rPr>
          <w:rFonts w:ascii="Calibri" w:cs="Calibri" w:eastAsia="Calibri" w:hAnsi="Calibri"/>
          <w:color w:val="1E293B"/>
          <w:sz w:val="21"/>
          <w:szCs w:val="21"/>
        </w:rPr>
        <w:t xml:space="preserve">Run these against the new tenant before handing it over. Each one has caught a real problem.</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240"/>
      </w:tblGrid>
      <w:tr>
        <w:tc>
          <w:tcPr>
            <w:tcW w:type="dxa" w:w="10240"/>
            <w:tcBorders>
              <w:top w:val="single" w:color="D8CDB8" w:sz="4"/>
              <w:left w:val="single" w:color="092B49" w:sz="14"/>
              <w:bottom w:val="single" w:color="D8CDB8" w:sz="4"/>
              <w:right w:val="single" w:color="D8CDB8" w:sz="4"/>
            </w:tcBorders>
            <w:shd w:fill="F4F5F7" w:val="clear"/>
            <w:tcMar>
              <w:top w:type="dxa" w:w="110"/>
              <w:left w:type="dxa" w:w="140"/>
              <w:bottom w:type="dxa" w:w="110"/>
              <w:right w:type="dxa" w:w="120"/>
            </w:tcMar>
          </w:tcPr>
          <w:p>
            <w:pPr>
              <w:spacing w:after="0"/>
            </w:pPr>
            <w:r>
              <w:rPr>
                <w:rFonts w:ascii="Consolas" w:cs="Consolas" w:eastAsia="Consolas" w:hAnsi="Consolas"/>
                <w:color w:val="243447"/>
                <w:sz w:val="17"/>
                <w:szCs w:val="17"/>
              </w:rPr>
              <w:t xml:space="preserve">-- Schema completeness</w:t>
            </w:r>
          </w:p>
          <w:p>
            <w:pPr>
              <w:spacing w:after="0"/>
            </w:pPr>
            <w:r>
              <w:rPr>
                <w:rFonts w:ascii="Consolas" w:cs="Consolas" w:eastAsia="Consolas" w:hAnsi="Consolas"/>
                <w:color w:val="243447"/>
                <w:sz w:val="17"/>
                <w:szCs w:val="17"/>
              </w:rPr>
              <w:t xml:space="preserve">select</w:t>
            </w:r>
          </w:p>
          <w:p>
            <w:pPr>
              <w:spacing w:after="0"/>
            </w:pPr>
            <w:r>
              <w:rPr>
                <w:rFonts w:ascii="Consolas" w:cs="Consolas" w:eastAsia="Consolas" w:hAnsi="Consolas"/>
                <w:color w:val="243447"/>
                <w:sz w:val="17"/>
                <w:szCs w:val="17"/>
              </w:rPr>
              <w:t xml:space="preserve">  (select count(*) from information_schema.columns</w:t>
            </w:r>
          </w:p>
          <w:p>
            <w:pPr>
              <w:spacing w:after="0"/>
            </w:pPr>
            <w:r>
              <w:rPr>
                <w:rFonts w:ascii="Consolas" w:cs="Consolas" w:eastAsia="Consolas" w:hAnsi="Consolas"/>
                <w:color w:val="243447"/>
                <w:sz w:val="17"/>
                <w:szCs w:val="17"/>
              </w:rPr>
              <w:t xml:space="preserve">    where table_name='documents'</w:t>
            </w:r>
          </w:p>
          <w:p>
            <w:pPr>
              <w:spacing w:after="0"/>
            </w:pPr>
            <w:r>
              <w:rPr>
                <w:rFonts w:ascii="Consolas" w:cs="Consolas" w:eastAsia="Consolas" w:hAnsi="Consolas"/>
                <w:color w:val="243447"/>
                <w:sz w:val="17"/>
                <w:szCs w:val="17"/>
              </w:rPr>
              <w:t xml:space="preserve">      and column_name='property_section')        as doc_section,</w:t>
            </w:r>
          </w:p>
          <w:p>
            <w:pPr>
              <w:spacing w:after="0"/>
            </w:pPr>
            <w:r>
              <w:rPr>
                <w:rFonts w:ascii="Consolas" w:cs="Consolas" w:eastAsia="Consolas" w:hAnsi="Consolas"/>
                <w:color w:val="243447"/>
                <w:sz w:val="17"/>
                <w:szCs w:val="17"/>
              </w:rPr>
              <w:t xml:space="preserve">  (select count(*) from public.workflow_templates</w:t>
            </w:r>
          </w:p>
          <w:p>
            <w:pPr>
              <w:spacing w:after="0"/>
            </w:pPr>
            <w:r>
              <w:rPr>
                <w:rFonts w:ascii="Consolas" w:cs="Consolas" w:eastAsia="Consolas" w:hAnsi="Consolas"/>
                <w:color w:val="243447"/>
                <w:sz w:val="17"/>
                <w:szCs w:val="17"/>
              </w:rPr>
              <w:t xml:space="preserve">    where is_starter)                            as playbooks,</w:t>
            </w:r>
          </w:p>
          <w:p>
            <w:pPr>
              <w:spacing w:after="0"/>
            </w:pPr>
            <w:r>
              <w:rPr>
                <w:rFonts w:ascii="Consolas" w:cs="Consolas" w:eastAsia="Consolas" w:hAnsi="Consolas"/>
                <w:color w:val="243447"/>
                <w:sz w:val="17"/>
                <w:szCs w:val="17"/>
              </w:rPr>
              <w:t xml:space="preserve">  (select count(*) from pg_class c</w:t>
            </w:r>
          </w:p>
          <w:p>
            <w:pPr>
              <w:spacing w:after="0"/>
            </w:pPr>
            <w:r>
              <w:rPr>
                <w:rFonts w:ascii="Consolas" w:cs="Consolas" w:eastAsia="Consolas" w:hAnsi="Consolas"/>
                <w:color w:val="243447"/>
                <w:sz w:val="17"/>
                <w:szCs w:val="17"/>
              </w:rPr>
              <w:t xml:space="preserve">     join pg_namespace n on n.oid=c.relnamespace</w:t>
            </w:r>
          </w:p>
          <w:p>
            <w:pPr>
              <w:spacing w:after="0"/>
            </w:pPr>
            <w:r>
              <w:rPr>
                <w:rFonts w:ascii="Consolas" w:cs="Consolas" w:eastAsia="Consolas" w:hAnsi="Consolas"/>
                <w:color w:val="243447"/>
                <w:sz w:val="17"/>
                <w:szCs w:val="17"/>
              </w:rPr>
              <w:t xml:space="preserve">    where n.nspname='public' and c.relrowsecurity</w:t>
            </w:r>
          </w:p>
          <w:p>
            <w:pPr>
              <w:spacing w:after="0"/>
            </w:pPr>
            <w:r>
              <w:rPr>
                <w:rFonts w:ascii="Consolas" w:cs="Consolas" w:eastAsia="Consolas" w:hAnsi="Consolas"/>
                <w:color w:val="243447"/>
                <w:sz w:val="17"/>
                <w:szCs w:val="17"/>
              </w:rPr>
              <w:t xml:space="preserve">      and c.relname in ('obligations','workflow_templates',</w:t>
            </w:r>
          </w:p>
          <w:p>
            <w:pPr>
              <w:spacing w:after="0"/>
            </w:pPr>
            <w:r>
              <w:rPr>
                <w:rFonts w:ascii="Consolas" w:cs="Consolas" w:eastAsia="Consolas" w:hAnsi="Consolas"/>
                <w:color w:val="243447"/>
                <w:sz w:val="17"/>
                <w:szCs w:val="17"/>
              </w:rPr>
              <w:t xml:space="preserve">        'workflow_instances','workflow_instance_steps'))  as rls_on;</w:t>
            </w:r>
          </w:p>
          <w:p>
            <w:pPr>
              <w:spacing w:after="0"/>
            </w:pPr>
            <w:r>
              <w:rPr>
                <w:rFonts w:ascii="Consolas" w:cs="Consolas" w:eastAsia="Consolas" w:hAnsi="Consolas"/>
                <w:color w:val="243447"/>
                <w:sz w:val="17"/>
                <w:szCs w:val="17"/>
              </w:rPr>
              <w:t xml:space="preserve">-- expect 1, 9, 4</w:t>
            </w:r>
          </w:p>
        </w:tc>
      </w:tr>
    </w:tbl>
    <w:p>
      <w:pPr>
        <w:spacing w:after="110" w:before="0"/>
      </w:pPr>
      <w:r>
        <w:rPr>
          <w:rFonts w:ascii="Calibri" w:cs="Calibri" w:eastAsia="Calibri" w:hAnsi="Calibri"/>
          <w:color w:val="1E293B"/>
          <w:sz w:val="21"/>
          <w:szCs w:val="21"/>
        </w:rPr>
        <w:t xml:space="preserve">Then confirm isolation actually holds, by impersonating a real Expert and checking they cannot see another Expert's client. This is the check worth doing properly, because the failure mode is a confidentiality breach rather than an error message:</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240"/>
      </w:tblGrid>
      <w:tr>
        <w:tc>
          <w:tcPr>
            <w:tcW w:type="dxa" w:w="10240"/>
            <w:tcBorders>
              <w:top w:val="single" w:color="D8CDB8" w:sz="4"/>
              <w:left w:val="single" w:color="092B49" w:sz="14"/>
              <w:bottom w:val="single" w:color="D8CDB8" w:sz="4"/>
              <w:right w:val="single" w:color="D8CDB8" w:sz="4"/>
            </w:tcBorders>
            <w:shd w:fill="F4F5F7" w:val="clear"/>
            <w:tcMar>
              <w:top w:type="dxa" w:w="110"/>
              <w:left w:type="dxa" w:w="140"/>
              <w:bottom w:type="dxa" w:w="110"/>
              <w:right w:type="dxa" w:w="120"/>
            </w:tcMar>
          </w:tcPr>
          <w:p>
            <w:pPr>
              <w:spacing w:after="0"/>
            </w:pPr>
            <w:r>
              <w:rPr>
                <w:rFonts w:ascii="Consolas" w:cs="Consolas" w:eastAsia="Consolas" w:hAnsi="Consolas"/>
                <w:color w:val="243447"/>
                <w:sz w:val="17"/>
                <w:szCs w:val="17"/>
              </w:rPr>
              <w:t xml:space="preserve">-- inside a transaction, as an authenticated user</w:t>
            </w:r>
          </w:p>
          <w:p>
            <w:pPr>
              <w:spacing w:after="0"/>
            </w:pPr>
            <w:r>
              <w:rPr>
                <w:rFonts w:ascii="Consolas" w:cs="Consolas" w:eastAsia="Consolas" w:hAnsi="Consolas"/>
                <w:color w:val="243447"/>
                <w:sz w:val="17"/>
                <w:szCs w:val="17"/>
              </w:rPr>
              <w:t xml:space="preserve">select set_config('request.jwt.claims',</w:t>
            </w:r>
          </w:p>
          <w:p>
            <w:pPr>
              <w:spacing w:after="0"/>
            </w:pPr>
            <w:r>
              <w:rPr>
                <w:rFonts w:ascii="Consolas" w:cs="Consolas" w:eastAsia="Consolas" w:hAnsi="Consolas"/>
                <w:color w:val="243447"/>
                <w:sz w:val="17"/>
                <w:szCs w:val="17"/>
              </w:rPr>
              <w:t xml:space="preserve">  json_build_object('sub','&lt;expert-user-id&gt;',</w:t>
            </w:r>
          </w:p>
          <w:p>
            <w:pPr>
              <w:spacing w:after="0"/>
            </w:pPr>
            <w:r>
              <w:rPr>
                <w:rFonts w:ascii="Consolas" w:cs="Consolas" w:eastAsia="Consolas" w:hAnsi="Consolas"/>
                <w:color w:val="243447"/>
                <w:sz w:val="17"/>
                <w:szCs w:val="17"/>
              </w:rPr>
              <w:t xml:space="preserve">                    'role','authenticated')::text, true);</w:t>
            </w:r>
          </w:p>
          <w:p>
            <w:pPr>
              <w:spacing w:after="0"/>
            </w:pPr>
            <w:r>
              <w:rPr>
                <w:rFonts w:ascii="Consolas" w:cs="Consolas" w:eastAsia="Consolas" w:hAnsi="Consolas"/>
                <w:color w:val="243447"/>
                <w:sz w:val="17"/>
                <w:szCs w:val="17"/>
              </w:rPr>
              <w:t xml:space="preserve">set local role authenticated;</w:t>
            </w:r>
          </w:p>
          <w:p>
            <w:pPr>
              <w:spacing w:after="0"/>
            </w:pPr>
            <w:r>
              <w:rPr>
                <w:rFonts w:ascii="Consolas" w:cs="Consolas" w:eastAsia="Consolas" w:hAnsi="Consolas"/>
                <w:color w:val="243447"/>
                <w:sz w:val="17"/>
                <w:szCs w:val="17"/>
              </w:rPr>
              <w:t xml:space="preserve">select count(*) from public.families;   -- only their own</w:t>
            </w:r>
          </w:p>
          <w:p>
            <w:pPr>
              <w:spacing w:after="0"/>
            </w:pPr>
            <w:r>
              <w:rPr>
                <w:rFonts w:ascii="Consolas" w:cs="Consolas" w:eastAsia="Consolas" w:hAnsi="Consolas"/>
                <w:color w:val="243447"/>
                <w:sz w:val="17"/>
                <w:szCs w:val="17"/>
              </w:rPr>
              <w:t xml:space="preserve">select count(*) from public.obligations;-- only their own</w:t>
            </w:r>
          </w:p>
        </w:tc>
      </w:tr>
    </w:tbl>
    <w:p>
      <w:pPr>
        <w:spacing w:after="90" w:before="230"/>
      </w:pPr>
      <w:r>
        <w:rPr>
          <w:rFonts w:ascii="Georgia" w:cs="Georgia" w:eastAsia="Georgia" w:hAnsi="Georgia"/>
          <w:b/>
          <w:bCs/>
          <w:color w:val="092B49"/>
          <w:sz w:val="22"/>
          <w:szCs w:val="22"/>
        </w:rPr>
        <w:t xml:space="preserve">Sign-off checklist</w:t>
      </w:r>
    </w:p>
    <w:p>
      <w:pPr>
        <w:pStyle w:val="ListParagraph"/>
        <w:numPr>
          <w:ilvl w:val="0"/>
          <w:numId w:val="2"/>
        </w:numPr>
        <w:spacing w:after="70"/>
      </w:pPr>
      <w:r>
        <w:rPr>
          <w:rFonts w:ascii="Calibri" w:cs="Calibri" w:eastAsia="Calibri" w:hAnsi="Calibri"/>
          <w:color w:val="1E293B"/>
          <w:sz w:val="20"/>
          <w:szCs w:val="20"/>
        </w:rPr>
        <w:t xml:space="preserve">Three RLS helper functions present and SECURITY DEFINER.</w:t>
      </w:r>
    </w:p>
    <w:p>
      <w:pPr>
        <w:pStyle w:val="ListParagraph"/>
        <w:numPr>
          <w:ilvl w:val="0"/>
          <w:numId w:val="2"/>
        </w:numPr>
        <w:spacing w:after="70"/>
      </w:pPr>
      <w:r>
        <w:rPr>
          <w:rFonts w:ascii="Calibri" w:cs="Calibri" w:eastAsia="Calibri" w:hAnsi="Calibri"/>
          <w:color w:val="1E293B"/>
          <w:sz w:val="20"/>
          <w:szCs w:val="20"/>
        </w:rPr>
        <w:t xml:space="preserve">Nine starter playbooks present, 66 steps, digests match the reference tenant.</w:t>
      </w:r>
    </w:p>
    <w:p>
      <w:pPr>
        <w:pStyle w:val="ListParagraph"/>
        <w:numPr>
          <w:ilvl w:val="0"/>
          <w:numId w:val="2"/>
        </w:numPr>
        <w:spacing w:after="70"/>
      </w:pPr>
      <w:r>
        <w:rPr>
          <w:rFonts w:ascii="Calibri" w:cs="Calibri" w:eastAsia="Calibri" w:hAnsi="Calibri"/>
          <w:color w:val="1E293B"/>
          <w:sz w:val="20"/>
          <w:szCs w:val="20"/>
        </w:rPr>
        <w:t xml:space="preserve">documents.property_section present; a test document upload succeeds.</w:t>
      </w:r>
    </w:p>
    <w:p>
      <w:pPr>
        <w:pStyle w:val="ListParagraph"/>
        <w:numPr>
          <w:ilvl w:val="0"/>
          <w:numId w:val="2"/>
        </w:numPr>
        <w:spacing w:after="70"/>
      </w:pPr>
      <w:r>
        <w:rPr>
          <w:rFonts w:ascii="Calibri" w:cs="Calibri" w:eastAsia="Calibri" w:hAnsi="Calibri"/>
          <w:color w:val="1E293B"/>
          <w:sz w:val="20"/>
          <w:szCs w:val="20"/>
        </w:rPr>
        <w:t xml:space="preserve">Sending domain verified with the provider and sender_verified set to true.</w:t>
      </w:r>
    </w:p>
    <w:p>
      <w:pPr>
        <w:pStyle w:val="ListParagraph"/>
        <w:numPr>
          <w:ilvl w:val="0"/>
          <w:numId w:val="2"/>
        </w:numPr>
        <w:spacing w:after="70"/>
      </w:pPr>
      <w:r>
        <w:rPr>
          <w:rFonts w:ascii="Calibri" w:cs="Calibri" w:eastAsia="Calibri" w:hAnsi="Calibri"/>
          <w:color w:val="1E293B"/>
          <w:sz w:val="20"/>
          <w:szCs w:val="20"/>
        </w:rPr>
        <w:t xml:space="preserve">Zero families whose Expert address is off the verified domain.</w:t>
      </w:r>
    </w:p>
    <w:p>
      <w:pPr>
        <w:pStyle w:val="ListParagraph"/>
        <w:numPr>
          <w:ilvl w:val="0"/>
          <w:numId w:val="2"/>
        </w:numPr>
        <w:spacing w:after="70"/>
      </w:pPr>
      <w:r>
        <w:rPr>
          <w:rFonts w:ascii="Calibri" w:cs="Calibri" w:eastAsia="Calibri" w:hAnsi="Calibri"/>
          <w:color w:val="1E293B"/>
          <w:sz w:val="20"/>
          <w:szCs w:val="20"/>
        </w:rPr>
        <w:t xml:space="preserve">Every family has a designated principal, or the omission is deliberate and noted.</w:t>
      </w:r>
    </w:p>
    <w:p>
      <w:pPr>
        <w:pStyle w:val="ListParagraph"/>
        <w:numPr>
          <w:ilvl w:val="0"/>
          <w:numId w:val="2"/>
        </w:numPr>
        <w:spacing w:after="70"/>
      </w:pPr>
      <w:r>
        <w:rPr>
          <w:rFonts w:ascii="Calibri" w:cs="Calibri" w:eastAsia="Calibri" w:hAnsi="Calibri"/>
          <w:color w:val="1E293B"/>
          <w:sz w:val="20"/>
          <w:szCs w:val="20"/>
        </w:rPr>
        <w:t xml:space="preserve">An Expert signing in lands on the dashboard and can see only their own book.</w:t>
      </w:r>
    </w:p>
    <w:p>
      <w:pPr>
        <w:pStyle w:val="ListParagraph"/>
        <w:numPr>
          <w:ilvl w:val="0"/>
          <w:numId w:val="2"/>
        </w:numPr>
        <w:spacing w:after="70"/>
      </w:pPr>
      <w:r>
        <w:rPr>
          <w:rFonts w:ascii="Calibri" w:cs="Calibri" w:eastAsia="Calibri" w:hAnsi="Calibri"/>
          <w:color w:val="1E293B"/>
          <w:sz w:val="20"/>
          <w:szCs w:val="20"/>
        </w:rPr>
        <w:t xml:space="preserve">One workflow cycle started, drafted, approved and sent end to end on demo data.</w:t>
      </w:r>
    </w:p>
    <w:p>
      <w:pPr>
        <w:pStyle w:val="ListParagraph"/>
        <w:numPr>
          <w:ilvl w:val="0"/>
          <w:numId w:val="2"/>
        </w:numPr>
        <w:spacing w:after="70"/>
      </w:pPr>
      <w:r>
        <w:rPr>
          <w:rFonts w:ascii="Calibri" w:cs="Calibri" w:eastAsia="Calibri" w:hAnsi="Calibri"/>
          <w:color w:val="1E293B"/>
          <w:sz w:val="20"/>
          <w:szCs w:val="20"/>
        </w:rPr>
        <w:t xml:space="preserve">All demo and test rows removed, verified by count rather than by eye.</w:t>
      </w:r>
    </w:p>
    <w:p>
      <w:pPr>
        <w:pBdr>
          <w:bottom w:val="single" w:color="CEB684" w:sz="8"/>
        </w:pBdr>
        <w:spacing w:after="130" w:before="320"/>
      </w:pPr>
      <w:r>
        <w:rPr>
          <w:rFonts w:ascii="Georgia" w:cs="Georgia" w:eastAsia="Georgia" w:hAnsi="Georgia"/>
          <w:b/>
          <w:bCs/>
          <w:color w:val="092B49"/>
          <w:sz w:val="26"/>
          <w:szCs w:val="26"/>
        </w:rPr>
        <w:t xml:space="preserve">Known gaps in the onboarding process</w:t>
      </w:r>
    </w:p>
    <w:p>
      <w:pPr>
        <w:spacing w:after="100" w:before="0"/>
      </w:pPr>
      <w:r>
        <w:rPr>
          <w:rFonts w:ascii="Calibri" w:cs="Calibri" w:eastAsia="Calibri" w:hAnsi="Calibri"/>
          <w:color w:val="1E293B"/>
          <w:sz w:val="21"/>
          <w:szCs w:val="21"/>
        </w:rPr>
        <w:t xml:space="preserve">Named here so they are planned for rather than discovered mid-provisioning.</w:t>
      </w:r>
    </w:p>
    <w:p>
      <w:pPr>
        <w:pStyle w:val="ListParagraph"/>
        <w:numPr>
          <w:ilvl w:val="0"/>
          <w:numId w:val="2"/>
        </w:numPr>
        <w:spacing w:after="70"/>
      </w:pPr>
      <w:r>
        <w:rPr>
          <w:rFonts w:ascii="Calibri" w:cs="Calibri" w:eastAsia="Calibri" w:hAnsi="Calibri"/>
          <w:color w:val="1E293B"/>
          <w:sz w:val="20"/>
          <w:szCs w:val="20"/>
        </w:rPr>
        <w:t xml:space="preserve">No checked-in schema baseline. Provisioning depends on dumping the schema from a reference project, which means the reference project is load-bearing infrastructure. Generating a baseline migration is the highest-value fix to this process.</w:t>
      </w:r>
    </w:p>
    <w:p>
      <w:pPr>
        <w:pStyle w:val="ListParagraph"/>
        <w:numPr>
          <w:ilvl w:val="0"/>
          <w:numId w:val="2"/>
        </w:numPr>
        <w:spacing w:after="70"/>
      </w:pPr>
      <w:r>
        <w:rPr>
          <w:rFonts w:ascii="Calibri" w:cs="Calibri" w:eastAsia="Calibri" w:hAnsi="Calibri"/>
          <w:color w:val="1E293B"/>
          <w:sz w:val="20"/>
          <w:szCs w:val="20"/>
        </w:rPr>
        <w:t xml:space="preserve">Two deployed edge functions have no source in the repository: run-scheduled-prompts and admin-set-password.</w:t>
      </w:r>
    </w:p>
    <w:p>
      <w:pPr>
        <w:pStyle w:val="ListParagraph"/>
        <w:numPr>
          <w:ilvl w:val="0"/>
          <w:numId w:val="2"/>
        </w:numPr>
        <w:spacing w:after="70"/>
      </w:pPr>
      <w:r>
        <w:rPr>
          <w:rFonts w:ascii="Calibri" w:cs="Calibri" w:eastAsia="Calibri" w:hAnsi="Calibri"/>
          <w:color w:val="1E293B"/>
          <w:sz w:val="20"/>
          <w:szCs w:val="20"/>
        </w:rPr>
        <w:t xml:space="preserve">The cron schedule for scheduled reports is a database job and must be re-created per tenant; it does not travel with the function deployment.</w:t>
      </w:r>
    </w:p>
    <w:p>
      <w:pPr>
        <w:pStyle w:val="ListParagraph"/>
        <w:numPr>
          <w:ilvl w:val="0"/>
          <w:numId w:val="2"/>
        </w:numPr>
        <w:spacing w:after="70"/>
      </w:pPr>
      <w:r>
        <w:rPr>
          <w:rFonts w:ascii="Calibri" w:cs="Calibri" w:eastAsia="Calibri" w:hAnsi="Calibri"/>
          <w:color w:val="1E293B"/>
          <w:sz w:val="20"/>
          <w:szCs w:val="20"/>
        </w:rPr>
        <w:t xml:space="preserve">No delivery confirmation. The platform records that the email provider accepted a message, which is not the same as it arriving. A bounced instruction will currently sit looking sent until bounce handling is built.</w:t>
      </w:r>
    </w:p>
    <w:p>
      <w:pPr>
        <w:pStyle w:val="ListParagraph"/>
        <w:numPr>
          <w:ilvl w:val="0"/>
          <w:numId w:val="2"/>
        </w:numPr>
        <w:spacing w:after="70"/>
      </w:pPr>
      <w:r>
        <w:rPr>
          <w:rFonts w:ascii="Calibri" w:cs="Calibri" w:eastAsia="Calibri" w:hAnsi="Calibri"/>
          <w:color w:val="1E293B"/>
          <w:sz w:val="20"/>
          <w:szCs w:val="20"/>
        </w:rPr>
        <w:t xml:space="preserve">No cross-tenant single sign-on. An Expert serving clients through several branded instances signs into each separately.</w:t>
      </w:r>
    </w:p>
    <w:p>
      <w:pPr>
        <w:pStyle w:val="ListParagraph"/>
        <w:numPr>
          <w:ilvl w:val="0"/>
          <w:numId w:val="2"/>
        </w:numPr>
        <w:spacing w:after="70"/>
      </w:pPr>
      <w:r>
        <w:rPr>
          <w:rFonts w:ascii="Calibri" w:cs="Calibri" w:eastAsia="Calibri" w:hAnsi="Calibri"/>
          <w:color w:val="1E293B"/>
          <w:sz w:val="20"/>
          <w:szCs w:val="20"/>
        </w:rPr>
        <w:t xml:space="preserve">Draft recipients are often descriptions rather than addresses ("First Republic Bank, Wire Operations"). Sending refuses those until a real address is supplied, so loading counterparty contacts during step 11 materially reduces friction later.</w:t>
      </w:r>
    </w:p>
    <w:p>
      <w:pPr>
        <w:pBdr>
          <w:top w:val="single" w:color="CEB684" w:sz="6"/>
        </w:pBdr>
        <w:spacing w:before="320"/>
        <w:jc w:val="center"/>
      </w:pPr>
      <w:r>
        <w:rPr>
          <w:rFonts w:ascii="Calibri" w:cs="Calibri" w:eastAsia="Calibri" w:hAnsi="Calibri"/>
          <w:color w:val="5A6E84"/>
          <w:sz w:val="17"/>
          <w:szCs w:val="17"/>
        </w:rPr>
        <w:t xml:space="preserve">TitanOS  ·  Internal Operations  ·  Not for circulation to client firms</w:t>
      </w:r>
    </w:p>
    <w:sectPr>
      <w:pgSz w:w="12240" w:h="15840"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4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84eb7662baa27782bb90aca57463e5ab6b7a476.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2026-07-28T21:38:35.498Z</dcterms:created>
  <dcterms:modified xsi:type="dcterms:W3CDTF">2026-07-28T21:38:35.498Z</dcterms:modified>
</cp:coreProperties>
</file>

<file path=docProps/custom.xml><?xml version="1.0" encoding="utf-8"?>
<Properties xmlns="http://schemas.openxmlformats.org/officeDocument/2006/custom-properties" xmlns:vt="http://schemas.openxmlformats.org/officeDocument/2006/docPropsVTypes"/>
</file>