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Georgia" w:cs="Georgia" w:eastAsia="Georgia" w:hAnsi="Georgia"/>
          <w:b/>
          <w:bCs/>
          <w:color w:val="092B49"/>
          <w:sz w:val="44"/>
          <w:szCs w:val="44"/>
        </w:rPr>
        <w:t xml:space="preserve">TITANOS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EB684"/>
          <w:sz w:val="15"/>
          <w:szCs w:val="15"/>
        </w:rPr>
        <w:t xml:space="preserve">P R I V A T E   W E A L T H   O P E R A T I N G   S Y S T E M</w:t>
      </w:r>
    </w:p>
    <w:p>
      <w:pPr>
        <w:pBdr>
          <w:top w:val="single" w:color="CEB684" w:sz="6"/>
        </w:pBdr>
        <w:spacing w:after="0" w:before="200"/>
        <w:jc w:val="center"/>
      </w:pPr>
      <w:r>
        <w:rPr>
          <w:rFonts w:ascii="Georgia" w:cs="Georgia" w:eastAsia="Georgia" w:hAnsi="Georgia"/>
          <w:b/>
          <w:bCs/>
          <w:color w:val="092B49"/>
          <w:sz w:val="31"/>
          <w:szCs w:val="31"/>
        </w:rPr>
        <w:t xml:space="preserve">Operating Checklists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A6E84"/>
          <w:sz w:val="18"/>
          <w:szCs w:val="18"/>
        </w:rPr>
        <w:t xml:space="preserve">What must not be missed, at the moment it matters</w:t>
      </w:r>
    </w:p>
    <w:p>
      <w:pPr>
        <w:spacing w:after="110"/>
        <w:jc w:val="center"/>
      </w:pPr>
      <w:r>
        <w:rPr>
          <w:rFonts w:ascii="Calibri" w:cs="Calibri" w:eastAsia="Calibri" w:hAnsi="Calibri"/>
          <w:b/>
          <w:bCs/>
          <w:color w:val="8B1A1A"/>
          <w:sz w:val="18"/>
          <w:szCs w:val="18"/>
        </w:rPr>
        <w:t xml:space="preserve">Internal — TitanOS and PCM staff.  Not for circulation.</w:t>
      </w:r>
    </w:p>
    <w:p>
      <w:pPr>
        <w:spacing w:after="7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Seven checklists, one per page, arranged by the moment they are used. Print the one you need and work down it. Each carries a line for the household, the period and who completed it, because a ticked list with no name on it proves nothing afterwards.</w:t>
      </w:r>
    </w:p>
    <w:p>
      <w:pPr>
        <w:spacing w:after="7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These are the companion to the Standard Operating Procedures, which explain how each capability works and why. Where an item here needs more than a line of explanation, the referenced section has it.</w:t>
      </w:r>
    </w:p>
    <w:p>
      <w:pPr>
        <w:spacing w:after="70" w:before="0"/>
      </w:pPr>
      <w:r>
        <w:rPr>
          <w:rFonts w:ascii="Calibri" w:cs="Calibri" w:eastAsia="Calibri" w:hAnsi="Calibri"/>
          <w:i/>
          <w:iCs/>
          <w:color w:val="5A6E84"/>
          <w:sz w:val="18"/>
          <w:szCs w:val="18"/>
        </w:rPr>
        <w:t xml:space="preserve">Revised 28 July 2026.</w:t>
      </w:r>
    </w:p>
    <w:p>
      <w:pPr>
        <w:keepNext/>
        <w:pBdr>
          <w:bottom w:val="single" w:color="CEB684" w:sz="8"/>
        </w:pBdr>
        <w:spacing w:after="70" w:before="190"/>
      </w:pPr>
      <w:r>
        <w:rPr>
          <w:rFonts w:ascii="Georgia" w:cs="Georgia" w:eastAsia="Georgia" w:hAnsi="Georgia"/>
          <w:b/>
          <w:bCs/>
          <w:color w:val="092B49"/>
          <w:sz w:val="25"/>
          <w:szCs w:val="25"/>
        </w:rPr>
        <w:t xml:space="preserve">Contents</w:t>
      </w:r>
    </w:p>
    <w:p>
      <w:pPr>
        <w:spacing w:after="26"/>
        <w:ind w:left="260" w:hanging="260"/>
      </w:pPr>
      <w:r>
        <w:rPr>
          <w:rFonts w:ascii="Calibri" w:cs="Calibri" w:eastAsia="Calibri" w:hAnsi="Calibri"/>
          <w:b/>
          <w:bCs/>
          <w:color w:val="CEB684"/>
          <w:sz w:val="19"/>
          <w:szCs w:val="19"/>
        </w:rPr>
        <w:t xml:space="preserve">1 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Onboarding a new household</w:t>
      </w:r>
      <w:r>
        <w:rPr>
          <w:rFonts w:ascii="Calibri" w:cs="Calibri" w:eastAsia="Calibri" w:hAnsi="Calibri"/>
          <w:color w:val="5A6E84"/>
          <w:sz w:val="17"/>
          <w:szCs w:val="17"/>
        </w:rPr>
        <w:t xml:space="preserve">   18 items</w:t>
      </w:r>
    </w:p>
    <w:p>
      <w:pPr>
        <w:spacing w:after="26"/>
        <w:ind w:left="260" w:hanging="260"/>
      </w:pPr>
      <w:r>
        <w:rPr>
          <w:rFonts w:ascii="Calibri" w:cs="Calibri" w:eastAsia="Calibri" w:hAnsi="Calibri"/>
          <w:b/>
          <w:bCs/>
          <w:color w:val="CEB684"/>
          <w:sz w:val="19"/>
          <w:szCs w:val="19"/>
        </w:rPr>
        <w:t xml:space="preserve">2 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Quarterly statement cycle</w:t>
      </w:r>
      <w:r>
        <w:rPr>
          <w:rFonts w:ascii="Calibri" w:cs="Calibri" w:eastAsia="Calibri" w:hAnsi="Calibri"/>
          <w:color w:val="5A6E84"/>
          <w:sz w:val="17"/>
          <w:szCs w:val="17"/>
        </w:rPr>
        <w:t xml:space="preserve">   9 items</w:t>
      </w:r>
    </w:p>
    <w:p>
      <w:pPr>
        <w:spacing w:after="26"/>
        <w:ind w:left="260" w:hanging="260"/>
      </w:pPr>
      <w:r>
        <w:rPr>
          <w:rFonts w:ascii="Calibri" w:cs="Calibri" w:eastAsia="Calibri" w:hAnsi="Calibri"/>
          <w:b/>
          <w:bCs/>
          <w:color w:val="CEB684"/>
          <w:sz w:val="19"/>
          <w:szCs w:val="19"/>
        </w:rPr>
        <w:t xml:space="preserve">3 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Starting an obligation cycle</w:t>
      </w:r>
      <w:r>
        <w:rPr>
          <w:rFonts w:ascii="Calibri" w:cs="Calibri" w:eastAsia="Calibri" w:hAnsi="Calibri"/>
          <w:color w:val="5A6E84"/>
          <w:sz w:val="17"/>
          <w:szCs w:val="17"/>
        </w:rPr>
        <w:t xml:space="preserve">   9 items</w:t>
      </w:r>
    </w:p>
    <w:p>
      <w:pPr>
        <w:spacing w:after="26"/>
        <w:ind w:left="260" w:hanging="260"/>
      </w:pPr>
      <w:r>
        <w:rPr>
          <w:rFonts w:ascii="Calibri" w:cs="Calibri" w:eastAsia="Calibri" w:hAnsi="Calibri"/>
          <w:b/>
          <w:bCs/>
          <w:color w:val="CEB684"/>
          <w:sz w:val="19"/>
          <w:szCs w:val="19"/>
        </w:rPr>
        <w:t xml:space="preserve">4 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Before approving and sending correspondence</w:t>
      </w:r>
      <w:r>
        <w:rPr>
          <w:rFonts w:ascii="Calibri" w:cs="Calibri" w:eastAsia="Calibri" w:hAnsi="Calibri"/>
          <w:color w:val="5A6E84"/>
          <w:sz w:val="17"/>
          <w:szCs w:val="17"/>
        </w:rPr>
        <w:t xml:space="preserve">   12 items</w:t>
      </w:r>
    </w:p>
    <w:p>
      <w:pPr>
        <w:spacing w:after="26"/>
        <w:ind w:left="260" w:hanging="260"/>
      </w:pPr>
      <w:r>
        <w:rPr>
          <w:rFonts w:ascii="Calibri" w:cs="Calibri" w:eastAsia="Calibri" w:hAnsi="Calibri"/>
          <w:b/>
          <w:bCs/>
          <w:color w:val="CEB684"/>
          <w:sz w:val="19"/>
          <w:szCs w:val="19"/>
        </w:rPr>
        <w:t xml:space="preserve">5 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Monthly book review</w:t>
      </w:r>
      <w:r>
        <w:rPr>
          <w:rFonts w:ascii="Calibri" w:cs="Calibri" w:eastAsia="Calibri" w:hAnsi="Calibri"/>
          <w:color w:val="5A6E84"/>
          <w:sz w:val="17"/>
          <w:szCs w:val="17"/>
        </w:rPr>
        <w:t xml:space="preserve">   7 items</w:t>
      </w:r>
    </w:p>
    <w:p>
      <w:pPr>
        <w:spacing w:after="26"/>
        <w:ind w:left="260" w:hanging="260"/>
      </w:pPr>
      <w:r>
        <w:rPr>
          <w:rFonts w:ascii="Calibri" w:cs="Calibri" w:eastAsia="Calibri" w:hAnsi="Calibri"/>
          <w:b/>
          <w:bCs/>
          <w:color w:val="CEB684"/>
          <w:sz w:val="19"/>
          <w:szCs w:val="19"/>
        </w:rPr>
        <w:t xml:space="preserve">6 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Data hygiene audit</w:t>
      </w:r>
      <w:r>
        <w:rPr>
          <w:rFonts w:ascii="Calibri" w:cs="Calibri" w:eastAsia="Calibri" w:hAnsi="Calibri"/>
          <w:color w:val="5A6E84"/>
          <w:sz w:val="17"/>
          <w:szCs w:val="17"/>
        </w:rPr>
        <w:t xml:space="preserve">   9 items</w:t>
      </w:r>
    </w:p>
    <w:p>
      <w:pPr>
        <w:spacing w:after="26"/>
        <w:ind w:left="260" w:hanging="260"/>
      </w:pPr>
      <w:r>
        <w:rPr>
          <w:rFonts w:ascii="Calibri" w:cs="Calibri" w:eastAsia="Calibri" w:hAnsi="Calibri"/>
          <w:b/>
          <w:bCs/>
          <w:color w:val="CEB684"/>
          <w:sz w:val="19"/>
          <w:szCs w:val="19"/>
        </w:rPr>
        <w:t xml:space="preserve">7 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Removing access</w:t>
      </w:r>
      <w:r>
        <w:rPr>
          <w:rFonts w:ascii="Calibri" w:cs="Calibri" w:eastAsia="Calibri" w:hAnsi="Calibri"/>
          <w:color w:val="5A6E84"/>
          <w:sz w:val="17"/>
          <w:szCs w:val="17"/>
        </w:rPr>
        <w:t xml:space="preserve">   8 items</w:t>
      </w:r>
    </w:p>
    <w:p>
      <w:r>
        <w:br w:type="page"/>
      </w:r>
    </w:p>
    <w:p>
      <w:pPr>
        <w:keepNext/>
        <w:pBdr>
          <w:bottom w:val="single" w:color="CEB684" w:sz="8"/>
        </w:pBdr>
        <w:spacing w:after="70" w:before="190"/>
      </w:pPr>
      <w:r>
        <w:rPr>
          <w:rFonts w:ascii="Georgia" w:cs="Georgia" w:eastAsia="Georgia" w:hAnsi="Georgia"/>
          <w:b/>
          <w:bCs/>
          <w:color w:val="092B49"/>
          <w:sz w:val="25"/>
          <w:szCs w:val="25"/>
        </w:rPr>
        <w:t xml:space="preserve">1.  Onboarding a new household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A6E84"/>
          <w:sz w:val="19"/>
          <w:szCs w:val="19"/>
        </w:rPr>
        <w:t xml:space="preserve">Once, when a household is taken on. Expect it to span more than one sitting.</w:t>
      </w:r>
    </w:p>
    <w:p>
      <w:pPr>
        <w:spacing w:after="70" w:before="0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See sections 1, 2, 3, 4, 5, 6 and 8.  Standard Operating Procedures.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3"/>
      </w:tblGrid>
      <w:tr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Household</w:t>
            </w:r>
          </w:p>
        </w:tc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Completed by</w:t>
            </w:r>
          </w:p>
        </w:tc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/>
      </w:r>
    </w:p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The record itself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Household created and the responsible Titan Expert set before anything else is added.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Members added, with dates of birth where they matter for planning.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One member designated PRIMARY with the star.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primary member has an email address on file.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Professional contacts added: accountant, attorney, banker, insurance broker.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Contacts the household should be able to email themselves are ticked as such.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Counterparties recorded — bankers, trustees, carriers, fund administrators — so correspondence to them is recognised rather than queried.</w:t>
            </w:r>
          </w:p>
        </w:tc>
      </w:tr>
    </w:tbl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Assets and obligations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Properties created with loan, tax, insurance, flood and tenancy detail.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document attached to each property section that should have one.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Property vendors recorded with phone and email.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Portfolio accounts created with institution, type and banker.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Most recent statement filed against each account and a dated balance recorded, so no account reads "no date on this figure".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Valuables recorded and linked to the schedule covering them; anything uninsured is uninsured deliberately, not by omission.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Cash flow events entered, including anything the firm pays on the household's behalf.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Recurring obligations recorded, with their conditional questions answered from the trust document or the client's instruction rather than assumed.</w:t>
            </w:r>
          </w:p>
        </w:tc>
      </w:tr>
    </w:tbl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Access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 portal user created for the household and sign-in confirmed.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Partner grants set for any outside adviser who needs sight of this household.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Signed in as the responsible Expert and confirmed this household appears and no other Expert's client does.</w:t>
            </w:r>
          </w:p>
        </w:tc>
      </w:tr>
    </w:tbl>
    <w:p>
      <w:r>
        <w:br w:type="page"/>
      </w:r>
    </w:p>
    <w:p>
      <w:pPr>
        <w:keepNext/>
        <w:pBdr>
          <w:bottom w:val="single" w:color="CEB684" w:sz="8"/>
        </w:pBdr>
        <w:spacing w:after="70" w:before="190"/>
      </w:pPr>
      <w:r>
        <w:rPr>
          <w:rFonts w:ascii="Georgia" w:cs="Georgia" w:eastAsia="Georgia" w:hAnsi="Georgia"/>
          <w:b/>
          <w:bCs/>
          <w:color w:val="092B49"/>
          <w:sz w:val="25"/>
          <w:szCs w:val="25"/>
        </w:rPr>
        <w:t xml:space="preserve">2.  Quarterly statement cycle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A6E84"/>
          <w:sz w:val="19"/>
          <w:szCs w:val="19"/>
        </w:rPr>
        <w:t xml:space="preserve">Every reporting period, per account. The single most repeated task in the platform.</w:t>
      </w:r>
    </w:p>
    <w:p>
      <w:pPr>
        <w:spacing w:after="70" w:before="0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See sections 4 and 7.  Standard Operating Procedures.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Household</w:t>
            </w:r>
          </w:p>
        </w:tc>
        <w:tc>
          <w:tcPr>
            <w:tcW w:type="dxa" w:w="2048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Account</w:t>
            </w:r>
          </w:p>
        </w:tc>
        <w:tc>
          <w:tcPr>
            <w:tcW w:type="dxa" w:w="2048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Period</w:t>
            </w:r>
          </w:p>
        </w:tc>
        <w:tc>
          <w:tcPr>
            <w:tcW w:type="dxa" w:w="2048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Completed by</w:t>
            </w:r>
          </w:p>
        </w:tc>
        <w:tc>
          <w:tcPr>
            <w:tcW w:type="dxa" w:w="2048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/>
      </w:r>
    </w:p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Per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Statement obtained for the period.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Filed to the Vault against the account, with the period labelled the way the firm labels it.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Proposed closing balance checked against the statement, not accepted on sight.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Proposed period end date checked — a wrong date attaches the figure to the wrong quarter.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Difference against the previous figure reviewed, and explainable if someone asks.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Balance recorded, and the account header now shows a date.</w:t>
            </w:r>
          </w:p>
        </w:tc>
      </w:tr>
    </w:tbl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Watch for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consolidated statement covering several accounts: enter each account's own figure. Never the total.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restated statement for a period already recorded: record it and let it replace the earlier figure.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Accounts with no statement this period: noted, and the institution chased.</w:t>
            </w:r>
          </w:p>
        </w:tc>
      </w:tr>
    </w:tbl>
    <w:p>
      <w:r>
        <w:br w:type="page"/>
      </w:r>
    </w:p>
    <w:p>
      <w:pPr>
        <w:keepNext/>
        <w:pBdr>
          <w:bottom w:val="single" w:color="CEB684" w:sz="8"/>
        </w:pBdr>
        <w:spacing w:after="70" w:before="190"/>
      </w:pPr>
      <w:r>
        <w:rPr>
          <w:rFonts w:ascii="Georgia" w:cs="Georgia" w:eastAsia="Georgia" w:hAnsi="Georgia"/>
          <w:b/>
          <w:bCs/>
          <w:color w:val="092B49"/>
          <w:sz w:val="25"/>
          <w:szCs w:val="25"/>
        </w:rPr>
        <w:t xml:space="preserve">3.  Starting an obligation cycle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A6E84"/>
          <w:sz w:val="19"/>
          <w:szCs w:val="19"/>
        </w:rPr>
        <w:t xml:space="preserve">Each time a recurring commitment comes round.</w:t>
      </w:r>
    </w:p>
    <w:p>
      <w:pPr>
        <w:spacing w:after="70" w:before="0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See section 8.  Standard Operating Procedures.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3"/>
      </w:tblGrid>
      <w:tr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Household</w:t>
            </w:r>
          </w:p>
        </w:tc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Completed by</w:t>
            </w:r>
          </w:p>
        </w:tc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/>
      </w:r>
    </w:p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Before starting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Playbook read in Resources if this is the first time running it.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Counsel has confirmed the lead times for this jurisdiction, on first use of the playbook.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Amount and due date verified against the source document, not last year's figures.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Reference number and counterparty recorded, since they go on the outbound paperwork.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Funding accounts set — where money comes from and where it goes.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Conditional questions answered from the trust document or the client's written instruction.</w:t>
            </w:r>
          </w:p>
        </w:tc>
      </w:tr>
    </w:tbl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After starting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Dates reviewed against a real calendar, not just accepted.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If the cycle flagged itself at risk, the named slipped step dealt with first, before working through the list.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Steps marked not required are genuinely not required for this household.</w:t>
            </w:r>
          </w:p>
        </w:tc>
      </w:tr>
    </w:tbl>
    <w:p>
      <w:r>
        <w:br w:type="page"/>
      </w:r>
    </w:p>
    <w:p>
      <w:pPr>
        <w:keepNext/>
        <w:pBdr>
          <w:bottom w:val="single" w:color="CEB684" w:sz="8"/>
        </w:pBdr>
        <w:spacing w:after="70" w:before="190"/>
      </w:pPr>
      <w:r>
        <w:rPr>
          <w:rFonts w:ascii="Georgia" w:cs="Georgia" w:eastAsia="Georgia" w:hAnsi="Georgia"/>
          <w:b/>
          <w:bCs/>
          <w:color w:val="092B49"/>
          <w:sz w:val="25"/>
          <w:szCs w:val="25"/>
        </w:rPr>
        <w:t xml:space="preserve">4.  Before approving and sending correspondence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A6E84"/>
          <w:sz w:val="19"/>
          <w:szCs w:val="19"/>
        </w:rPr>
        <w:t xml:space="preserve">Every single outbound item. No exceptions, including routine ones.</w:t>
      </w:r>
    </w:p>
    <w:p>
      <w:pPr>
        <w:spacing w:after="70" w:before="0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See sections 2 and 9.  Standard Operating Procedures.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3"/>
      </w:tblGrid>
      <w:tr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Household</w:t>
            </w:r>
          </w:p>
        </w:tc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Completed by</w:t>
            </w:r>
          </w:p>
        </w:tc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/>
      </w:r>
    </w:p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Read the draft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Read in full. Not skimmed.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square-bracketed placeholders remain anywhere in the body.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Every figure matches the source document. Check the document, not the draft's account of it.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Policy, account and reference numbers match the record.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genre is right for the recipient — an instruction to a bank should not read like a note to a colleague.</w:t>
            </w:r>
          </w:p>
        </w:tc>
      </w:tr>
    </w:tbl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Check the envelope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To line is a real email address, not a description like "Wire Operations".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recipient is someone the firm holds an address for. If the platform flags it as unrecognised, verify the address independently — not from the document that produced it — before confirming.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household's primary contact is copied, or correctly suppressed because they are the addressee.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attachment is present and is the right document.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You are the right person to approve this and have the authority to do so.</w:t>
            </w:r>
          </w:p>
        </w:tc>
      </w:tr>
    </w:tbl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After sending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 step reads Sent and carries a delivery reference.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If the send failed, the reason is read and dealt with. The step stays outstanding until it is.</w:t>
            </w:r>
          </w:p>
        </w:tc>
      </w:tr>
    </w:tbl>
    <w:p>
      <w:r>
        <w:br w:type="page"/>
      </w:r>
    </w:p>
    <w:p>
      <w:pPr>
        <w:keepNext/>
        <w:pBdr>
          <w:bottom w:val="single" w:color="CEB684" w:sz="8"/>
        </w:pBdr>
        <w:spacing w:after="70" w:before="190"/>
      </w:pPr>
      <w:r>
        <w:rPr>
          <w:rFonts w:ascii="Georgia" w:cs="Georgia" w:eastAsia="Georgia" w:hAnsi="Georgia"/>
          <w:b/>
          <w:bCs/>
          <w:color w:val="092B49"/>
          <w:sz w:val="25"/>
          <w:szCs w:val="25"/>
        </w:rPr>
        <w:t xml:space="preserve">5.  Monthly book review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A6E84"/>
          <w:sz w:val="19"/>
          <w:szCs w:val="19"/>
        </w:rPr>
        <w:t xml:space="preserve">Monthly, per Titan Expert, across their whole book.</w:t>
      </w:r>
    </w:p>
    <w:p>
      <w:pPr>
        <w:spacing w:after="70" w:before="0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See sections 8, 9, 11 and 12.  Standard Operating Procedures.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Titan Expert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Month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Completed by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/>
      </w:r>
    </w:p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The queue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Review queue is empty, or every item in it has an owner and a date.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Anything reading "Approved — not sent" has been chased. Approval is not completion.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Failed sends investigated rather than left sitting.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At-risk cycles addressed.</w:t>
            </w:r>
          </w:p>
        </w:tc>
      </w:tr>
    </w:tbl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Looking ahead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Deadlines within the next sixty days reviewed.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Obligations due next quarter have their cycles started, or a reason they have not.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Scheduled reports ran as expected; any failure read.</w:t>
            </w:r>
          </w:p>
        </w:tc>
      </w:tr>
    </w:tbl>
    <w:p>
      <w:r>
        <w:br w:type="page"/>
      </w:r>
    </w:p>
    <w:p>
      <w:pPr>
        <w:keepNext/>
        <w:pBdr>
          <w:bottom w:val="single" w:color="CEB684" w:sz="8"/>
        </w:pBdr>
        <w:spacing w:after="70" w:before="190"/>
      </w:pPr>
      <w:r>
        <w:rPr>
          <w:rFonts w:ascii="Georgia" w:cs="Georgia" w:eastAsia="Georgia" w:hAnsi="Georgia"/>
          <w:b/>
          <w:bCs/>
          <w:color w:val="092B49"/>
          <w:sz w:val="25"/>
          <w:szCs w:val="25"/>
        </w:rPr>
        <w:t xml:space="preserve">6.  Data hygiene audit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A6E84"/>
          <w:sz w:val="19"/>
          <w:szCs w:val="19"/>
        </w:rPr>
        <w:t xml:space="preserve">Quarterly, firm-wide. This is the one that keeps the rest working.</w:t>
      </w:r>
    </w:p>
    <w:p>
      <w:pPr>
        <w:spacing w:after="70" w:before="0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See sections 1, 2, 4, 5, 7 and 14.  Standard Operating Procedures.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Titan Expert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Month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Completed by</w:t>
            </w:r>
          </w:p>
        </w:tc>
        <w:tc>
          <w:tcPr>
            <w:tcW w:type="dxa" w:w="2560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/>
      </w:r>
    </w:p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Gaps that break things silently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Every household has a designated primary contact with an email address. Without one, correspondence goes out copying nobody.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Every Titan Expert's email address sits on the firm's verified sending domain. An address off it cannot send.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portfolio account reads "no date on this figure".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account's most recent balance is more than one reporting period old.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Counterparty addresses are current, so sends are not stopped by unrecognised recipients.</w:t>
            </w:r>
          </w:p>
        </w:tc>
      </w:tr>
    </w:tbl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Quieter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Documents sitting in the Vault's "Other" folder reviewed and recategorised.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Valuables still showing "Not scheduled" are deliberately uninsured, and the client knows.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Property sections with no document attached chased.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Partner grants still appropriate — people change roles and firms.</w:t>
            </w:r>
          </w:p>
        </w:tc>
      </w:tr>
    </w:tbl>
    <w:p>
      <w:r>
        <w:br w:type="page"/>
      </w:r>
    </w:p>
    <w:p>
      <w:pPr>
        <w:keepNext/>
        <w:pBdr>
          <w:bottom w:val="single" w:color="CEB684" w:sz="8"/>
        </w:pBdr>
        <w:spacing w:after="70" w:before="190"/>
      </w:pPr>
      <w:r>
        <w:rPr>
          <w:rFonts w:ascii="Georgia" w:cs="Georgia" w:eastAsia="Georgia" w:hAnsi="Georgia"/>
          <w:b/>
          <w:bCs/>
          <w:color w:val="092B49"/>
          <w:sz w:val="25"/>
          <w:szCs w:val="25"/>
        </w:rPr>
        <w:t xml:space="preserve">7.  Removing access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A6E84"/>
          <w:sz w:val="19"/>
          <w:szCs w:val="19"/>
        </w:rPr>
        <w:t xml:space="preserve">When a staff member leaves, a partner relationship ends, or a household departs.</w:t>
      </w:r>
    </w:p>
    <w:p>
      <w:pPr>
        <w:spacing w:after="70" w:before="0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See section 1.  Standard Operating Procedures.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3"/>
      </w:tblGrid>
      <w:tr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Household</w:t>
            </w:r>
          </w:p>
        </w:tc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Completed by</w:t>
            </w:r>
          </w:p>
        </w:tc>
        <w:tc>
          <w:tcPr>
            <w:tcW w:type="dxa" w:w="3413"/>
            <w:tcBorders>
              <w:top w:val="none"/>
              <w:left w:val="none"/>
              <w:bottom w:val="single" w:color="B9C3CE" w:sz="4"/>
              <w:right w:val="none"/>
            </w:tcBorders>
            <w:tcMar>
              <w:top w:type="dxa" w:w="90"/>
              <w:left w:type="dxa" w:w="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A6E84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/>
      </w:r>
    </w:p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A staff member or partner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Role removed or set inactive.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Partner grants revoked household by household.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Their households reassigned to another Expert — this also changes who correspondence is sent from.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Scheduled reports they owned reassigned, or they stop running.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Understood that documents they uploaded remain. Those belong to the household, not the uploader.</w:t>
            </w:r>
          </w:p>
        </w:tc>
      </w:tr>
    </w:tbl>
    <w:p>
      <w:pPr>
        <w:keepNext/>
        <w:spacing w:after="30" w:before="85"/>
      </w:pPr>
      <w:r>
        <w:rPr>
          <w:rFonts w:ascii="Calibri" w:cs="Calibri" w:eastAsia="Calibri" w:hAnsi="Calibri"/>
          <w:b/>
          <w:bCs/>
          <w:caps/>
          <w:color w:val="5A6E84"/>
          <w:sz w:val="15"/>
          <w:szCs w:val="15"/>
        </w:rPr>
        <w:t xml:space="preserve">A departing household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980"/>
      </w:tblGrid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Active obligation cycles closed or transferred, with a note of where they stand.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Portal access removed.</w:t>
            </w:r>
          </w:p>
        </w:tc>
      </w:tr>
      <w:tr>
        <w:tc>
          <w:tcPr>
            <w:tcW w:type="dxa" w:w="26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3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Records retained per the firm's retention policy rather than deleted on instinct.</w:t>
            </w:r>
          </w:p>
        </w:tc>
      </w:tr>
    </w:tbl>
    <w:p>
      <w:pPr>
        <w:pBdr>
          <w:top w:val="single" w:color="CEB684" w:sz="6"/>
        </w:pBdr>
        <w:spacing w:before="300"/>
        <w:jc w:val="center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TitanOS  ·  Operating Checklists  ·  Not for circulation</w:t>
      </w:r>
    </w:p>
    <w:sectPr>
      <w:pgSz w:w="12240" w:h="15840" w:orient="portrait"/>
      <w:pgMar w:top="850" w:right="950" w:bottom="8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2026-07-28T21:04:53.580Z</dcterms:created>
  <dcterms:modified xsi:type="dcterms:W3CDTF">2026-07-28T21:04:53.580Z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