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640" w:after="280"/>
        <w:jc w:val="left"/>
      </w:pPr>
      <w:r>
        <w:rPr>
          <w:rFonts w:ascii="Liberation Sans" w:hAnsi="Liberation Sans" w:eastAsia="Liberation Sans"/>
        </w:rPr>
        <w:t xml:space="preserve">Expert</w:t>
      </w:r>
      <w:r>
        <w:rPr>
          <w:rFonts w:ascii="Liberation Sans" w:hAnsi="Liberation Sans" w:eastAsia="Liberation Sans"/>
        </w:rPr>
        <w:t xml:space="preserve"> </w:t>
      </w:r>
      <w:r>
        <w:rPr>
          <w:rFonts w:ascii="Liberation Sans" w:hAnsi="Liberation Sans" w:eastAsia="Liberation Sans"/>
        </w:rPr>
        <w:t xml:space="preserve">Ethics</w:t>
      </w:r>
      <w:r>
        <w:rPr>
          <w:rFonts w:ascii="Liberation Sans" w:hAnsi="Liberation Sans" w:eastAsia="Liberation Sans"/>
        </w:rPr>
        <w:t xml:space="preserve"> </w:t>
      </w:r>
      <w:r>
        <w:rPr>
          <w:rFonts w:ascii="Liberation Sans" w:hAnsi="Liberation Sans" w:eastAsia="Liberation Sans"/>
        </w:rPr>
        <w:t xml:space="preserve">and</w:t>
      </w:r>
      <w:r>
        <w:rPr>
          <w:rFonts w:ascii="Liberation Sans" w:hAnsi="Liberation Sans" w:eastAsia="Liberation Sans"/>
        </w:rPr>
        <w:t xml:space="preserve"> </w:t>
      </w:r>
      <w:r>
        <w:rPr>
          <w:rFonts w:ascii="Liberation Sans" w:hAnsi="Liberation Sans" w:eastAsia="Liberation Sans"/>
        </w:rPr>
        <w:t xml:space="preserve">Institutional</w:t>
      </w:r>
      <w:r>
        <w:rPr>
          <w:rFonts w:ascii="Liberation Sans" w:hAnsi="Liberation Sans" w:eastAsia="Liberation Sans"/>
        </w:rPr>
        <w:t xml:space="preserve"> </w:t>
      </w:r>
      <w:r>
        <w:rPr>
          <w:rFonts w:ascii="Liberation Sans" w:hAnsi="Liberation Sans" w:eastAsia="Liberation Sans"/>
        </w:rPr>
        <w:t xml:space="preserve">Significance</w:t>
      </w:r>
      <w:r>
        <w:rPr>
          <w:rFonts w:ascii="Liberation Sans" w:hAnsi="Liberation Sans" w:eastAsia="Liberation Sans"/>
        </w:rPr>
        <w:t xml:space="preserve"> </w:t>
      </w:r>
      <w:r>
        <w:rPr>
          <w:rFonts w:ascii="Liberation Sans" w:hAnsi="Liberation Sans" w:eastAsia="Liberation Sans"/>
        </w:rPr>
        <w:t xml:space="preserve">Review</w:t>
      </w:r>
    </w:p>
    <w:bookmarkStart w:id="36" w:name="executive-judgment"/>
    <w:p>
      <w:pPr>
        <w:pStyle w:val="Heading1"/>
        <w:keepNext/>
      </w:pPr>
      <w:r>
        <w:rPr>
          <w:rFonts w:ascii="Liberation Sans" w:hAnsi="Liberation Sans" w:eastAsia="Liberation Sans"/>
        </w:rPr>
        <w:t xml:space="preserve">Executive judgment</w:t>
      </w:r>
    </w:p>
    <w:bookmarkStart w:id="22" w:name="scope-and-evidential-discipline"/>
    <w:p>
      <w:pPr>
        <w:pStyle w:val="Heading2"/>
        <w:keepNext/>
      </w:pPr>
      <w:r>
        <w:rPr>
          <w:rFonts w:ascii="Liberation Sans" w:hAnsi="Liberation Sans" w:eastAsia="Liberation Sans"/>
        </w:rPr>
        <w:t xml:space="preserve">Scope and evidential discipline</w:t>
      </w:r>
    </w:p>
    <w:p>
      <w:pPr>
        <w:pStyle w:val="FirstParagraph"/>
      </w:pPr>
      <w:r>
        <w:rPr>
          <w:rFonts w:ascii="Liberation Sans" w:hAnsi="Liberation Sans" w:eastAsia="Liberation Sans"/>
        </w:rPr>
        <w:t xml:space="preserve">This review examines a single alleged information-state mechanism: whether an authoritative specialist record could have transformed an unresolved clinical relationship into portable apparent knowledge, transmitted that information state through later care, constrained reconstruction of the founding relationship, changed the later meaning of the patient’s own testimony, and generated documentary descendants later capable of appearing to validate the original construction. The mechanism is analysed at full ethical strength, but it is not treated as factually established. No underlying clinical file, audit trail, witness evidence, or independent expert report was supplied for this review; the case-specific propositions therefore remain allegations or analytical premises unless and until independently evidenced.</w:t>
      </w:r>
    </w:p>
    <w:p>
      <w:pPr>
        <w:pStyle w:val="BodyText"/>
        <w:widowControl/>
      </w:pPr>
      <w:r>
        <w:rPr>
          <w:rFonts w:ascii="Liberation Sans" w:hAnsi="Liberation Sans" w:eastAsia="Liberation Sans"/>
        </w:rPr>
        <w:t xml:space="preserve">The analysis uses a strict evidence-status vocabulary throughout:</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960"/>
        <w:gridCol w:w="3960"/>
      </w:tblGrid>
      <w:tr>
        <w:trPr>
          <w:tblHeader w:val="on"/>
          <w:tblHeader w:val="true"/>
          <w:cantSplit/>
        </w:trPr>
        <w:tc>
          <w:tcPr>
            <w:vAlign w:val="center"/>
            <w:tcMar>
              <w:top w:w="80" w:type="dxa"/>
              <w:start w:w="85" w:type="dxa"/>
              <w:bottom w:w="80" w:type="dxa"/>
              <w:end w:w="85" w:type="dxa"/>
            </w:tcMar>
            <w:tcW w:type="dxa" w:w="2232"/>
            <w:shd w:fill="E9EDF2"/>
          </w:tcPr>
          <w:p>
            <w:pPr>
              <w:pStyle w:val="Compact"/>
              <w:spacing w:before="0" w:after="50" w:line="240" w:lineRule="auto"/>
              <w:jc w:val="left"/>
            </w:pPr>
            <w:r>
              <w:rPr>
                <w:rFonts w:ascii="Liberation Sans" w:hAnsi="Liberation Sans" w:eastAsia="Liberation Sans"/>
                <w:b/>
                <w:sz w:val="16"/>
              </w:rPr>
              <w:t xml:space="preserve">Status</w:t>
            </w:r>
          </w:p>
        </w:tc>
        <w:tc>
          <w:tcPr>
            <w:vAlign w:val="center"/>
            <w:tcMar>
              <w:top w:w="80" w:type="dxa"/>
              <w:start w:w="85" w:type="dxa"/>
              <w:bottom w:w="80" w:type="dxa"/>
              <w:end w:w="85" w:type="dxa"/>
            </w:tcMar>
            <w:tcW w:type="dxa" w:w="7200"/>
            <w:shd w:fill="E9EDF2"/>
          </w:tcPr>
          <w:p>
            <w:pPr>
              <w:pStyle w:val="Compact"/>
              <w:spacing w:before="0" w:after="50" w:line="240" w:lineRule="auto"/>
              <w:jc w:val="left"/>
            </w:pPr>
            <w:r>
              <w:rPr>
                <w:rFonts w:ascii="Liberation Sans" w:hAnsi="Liberation Sans" w:eastAsia="Liberation Sans"/>
                <w:b/>
                <w:sz w:val="16"/>
              </w:rPr>
              <w:t xml:space="preserve">Meaning in this review</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Documentary fact</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proposition proved directly by an authenticated contemporaneous source.</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Patient evidence</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An account or recollection attributable to the patient, requiring assessment rather than automatic acceptance or rejection.</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Assumed premise</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proposition temporarily treated as true so its ethical implications can be analysed.</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Reasonable inference</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conclusion supported by established facts but not directly recorded.</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Clinical-expert question</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proposition requiring appropriate specialist expertise and contemporaneous-standard analysis.</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Provenance question</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question about authorship, timing, source, copying, version history, or transformation of information.</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Ethical conclusion</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normative judgment conditional on the evidential foundation stated.</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Regulatory question</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matter whose legal/regulatory relevance depends on a body’s statutory remit and evidential threshold.</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Legal question</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question requiring applicable law, limitation rules, jurisdiction, procedure, and legal advice.</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Subjective intent</w:t>
            </w:r>
          </w:p>
        </w:tc>
        <w:tc>
          <w:tcPr>
            <w:vAlign w:val="center"/>
            <w:tcW w:type="dxa" w:w="72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proposition about motive or consciousness; never inferred merely from documentary effect.</w:t>
            </w:r>
          </w:p>
        </w:tc>
      </w:tr>
    </w:tbl>
    <w:p>
      <w:pPr>
        <w:pStyle w:val="BodyText"/>
        <w:widowControl/>
      </w:pPr>
      <w:r>
        <w:rPr>
          <w:rFonts w:ascii="Liberation Sans" w:hAnsi="Liberation Sans" w:eastAsia="Liberation Sans"/>
        </w:rPr>
        <w:t xml:space="preserve">The central conclusion is conditional but strong:</w:t>
      </w:r>
      <w:r>
        <w:rPr>
          <w:rFonts w:ascii="Liberation Sans" w:hAnsi="Liberation Sans" w:eastAsia="Liberation Sans"/>
        </w:rPr>
        <w:t xml:space="preserve"> </w:t>
      </w:r>
      <w:r>
        <w:rPr>
          <w:rFonts w:ascii="Liberation Sans" w:hAnsi="Liberation Sans" w:eastAsia="Liberation Sans"/>
          <w:b/>
          <w:bCs/>
        </w:rPr>
        <w:t xml:space="preserve">if the mechanism were substantially established, the ethical wrong would not be exhausted by diagnostic error. It would concern the integrity of an information-producing act performed under specialist authority.</w:t>
      </w:r>
      <w:r>
        <w:rPr>
          <w:rFonts w:ascii="Liberation Sans" w:hAnsi="Liberation Sans" w:eastAsia="Liberation Sans"/>
        </w:rPr>
        <w:t xml:space="preserve"> </w:t>
      </w:r>
      <w:r>
        <w:rPr>
          <w:rFonts w:ascii="Liberation Sans" w:hAnsi="Liberation Sans" w:eastAsia="Liberation Sans"/>
        </w:rPr>
        <w:t xml:space="preserve">The alleged defect would be a mismatch between the actual epistemic state and the epistemic status communicated to future readers. That mismatch could exist even where individual ingredients were true, a neuropathy differential was medically possible, structural foot pathology existed, Parkinsonism was correctly recognised, and later clinicians acted conscientiously.</w:t>
      </w:r>
    </w:p>
    <w:p>
      <w:pPr>
        <w:pStyle w:val="BodyText"/>
        <w:widowControl/>
      </w:pPr>
      <w:r>
        <w:rPr>
          <w:rFonts w:ascii="Liberation Sans" w:hAnsi="Liberation Sans" w:eastAsia="Liberation Sans"/>
        </w:rPr>
        <w:t xml:space="preserve">A useful distinction is therefore:</w:t>
      </w:r>
    </w:p>
    <w:p>
      <w:pPr>
        <w:pStyle w:val="BlockText"/>
      </w:pPr>
      <w:r>
        <w:rPr>
          <w:rFonts w:ascii="Liberation Sans" w:hAnsi="Liberation Sans" w:eastAsia="Liberation Sans"/>
          <w:b/>
          <w:bCs/>
        </w:rPr>
        <w:t xml:space="preserve">Clinical uncertainty</w:t>
      </w:r>
      <w:r>
        <w:rPr>
          <w:rFonts w:ascii="Liberation Sans" w:hAnsi="Liberation Sans" w:eastAsia="Liberation Sans"/>
        </w:rPr>
        <w:t xml:space="preserve">: uncertainty that remains after proportionate specialist investigation and is represented as such.</w:t>
      </w:r>
    </w:p>
    <w:p>
      <w:pPr>
        <w:pStyle w:val="BlockText"/>
      </w:pPr>
      <w:r>
        <w:rPr>
          <w:rFonts w:ascii="Liberation Sans" w:hAnsi="Liberation Sans" w:eastAsia="Liberation Sans"/>
          <w:b/>
          <w:bCs/>
        </w:rPr>
        <w:t xml:space="preserve">Unearned documentary uncertainty</w:t>
      </w:r>
      <w:r>
        <w:rPr>
          <w:rFonts w:ascii="Liberation Sans" w:hAnsi="Liberation Sans" w:eastAsia="Liberation Sans"/>
        </w:rPr>
        <w:t xml:space="preserve">: uncertainty that remains because a material relationship was not adequately worked through, but is transmitted in a form that reasonably invites later readers to believe the question received sufficient specialist consideration.</w:t>
      </w:r>
    </w:p>
    <w:p>
      <w:pPr>
        <w:pStyle w:val="FirstParagraph"/>
      </w:pPr>
      <w:r>
        <w:rPr>
          <w:rFonts w:ascii="Liberation Sans" w:hAnsi="Liberation Sans" w:eastAsia="Liberation Sans"/>
        </w:rPr>
        <w:t xml:space="preserve">The second is ethically more serious because a specialist discharge or clinic synthesis is not only retrospective description. It is a prospective instrument of care. Medical-record scholarship has long treated records as constitutive components of clinical work rather than neutral mirrors of it; records coordinate later action, categories and interpretations.</w:t>
      </w:r>
      <w:r>
        <w:rPr>
          <w:rStyle w:val="FootnoteReference"/>
          <w:rFonts w:ascii="Liberation Sans" w:hAnsi="Liberation Sans" w:eastAsia="Liberation Sans"/>
        </w:rPr>
        <w:footnoteReference w:id="20"/>
      </w:r>
      <w:r>
        <w:rPr>
          <w:rFonts w:ascii="Liberation Sans" w:hAnsi="Liberation Sans" w:eastAsia="Liberation Sans"/>
        </w:rPr>
        <w:t xml:space="preserve"> </w:t>
      </w:r>
      <w:r>
        <w:rPr>
          <w:rFonts w:ascii="Liberation Sans" w:hAnsi="Liberation Sans" w:eastAsia="Liberation Sans"/>
        </w:rPr>
        <w:t xml:space="preserve">Empirical work also shows that wording in notes can influence subsequent clinicians’ attitudes and decisions even where medically relevant facts are held constant.</w:t>
      </w:r>
      <w:r>
        <w:rPr>
          <w:rStyle w:val="FootnoteReference"/>
          <w:rFonts w:ascii="Liberation Sans" w:hAnsi="Liberation Sans" w:eastAsia="Liberation Sans"/>
        </w:rPr>
        <w:footnoteReference w:id="21"/>
      </w:r>
      <w:r>
        <w:rPr>
          <w:rFonts w:ascii="Liberation Sans" w:hAnsi="Liberation Sans" w:eastAsia="Liberation Sans"/>
        </w:rPr>
        <w:t xml:space="preserve"> </w:t>
      </w:r>
      <w:r>
        <w:rPr>
          <w:rFonts w:ascii="Liberation Sans" w:hAnsi="Liberation Sans" w:eastAsia="Liberation Sans"/>
        </w:rPr>
        <w:t xml:space="preserve">This supports the proposition that documentary architecture can itself be a patient-safety variable.</w:t>
      </w:r>
    </w:p>
    <w:bookmarkEnd w:id="22"/>
    <w:bookmarkStart w:id="29" w:name="bottom-line-institutional-ranking"/>
    <w:p>
      <w:pPr>
        <w:pStyle w:val="Heading2"/>
        <w:keepNext/>
      </w:pPr>
      <w:r>
        <w:rPr>
          <w:rFonts w:ascii="Liberation Sans" w:hAnsi="Liberation Sans" w:eastAsia="Liberation Sans"/>
        </w:rPr>
        <w:t xml:space="preserve">Bottom-line institutional ranking</w:t>
      </w:r>
    </w:p>
    <w:p>
      <w:pPr>
        <w:pStyle w:val="FirstParagraph"/>
      </w:pPr>
      <w:r>
        <w:rPr>
          <w:rFonts w:ascii="Liberation Sans" w:hAnsi="Liberation Sans" w:eastAsia="Liberation Sans"/>
          <w:b/>
          <w:bCs/>
        </w:rPr>
        <w:t xml:space="preserve">Highest priority, once a minimum evidential package exists:</w:t>
      </w:r>
      <w:r>
        <w:rPr>
          <w:rFonts w:ascii="Liberation Sans" w:hAnsi="Liberation Sans" w:eastAsia="Liberation Sans"/>
        </w:rPr>
        <w:t xml:space="preserve"> </w:t>
      </w:r>
      <w:r>
        <w:rPr>
          <w:rFonts w:ascii="Liberation Sans" w:hAnsi="Liberation Sans" w:eastAsia="Liberation Sans"/>
        </w:rPr>
        <w:t xml:space="preserve">the relevant hospital/service clinical governance and Quality &amp; Patient Safety (QPS) structures; the relevant HSE Health Region; and, if the evidence supports serious doctor-specific professional-conduct or performance concerns, the Medical Council. HSE’s current national QPS functions expressly include incident management, open disclosure, NIMS, clinical audit, safety intelligence and learning.</w:t>
      </w:r>
      <w:r>
        <w:rPr>
          <w:rStyle w:val="FootnoteReference"/>
          <w:rFonts w:ascii="Liberation Sans" w:hAnsi="Liberation Sans" w:eastAsia="Liberation Sans"/>
        </w:rPr>
        <w:footnoteReference w:id="23"/>
      </w:r>
      <w:r>
        <w:rPr>
          <w:rFonts w:ascii="Liberation Sans" w:hAnsi="Liberation Sans" w:eastAsia="Liberation Sans"/>
        </w:rPr>
        <w:t xml:space="preserve"> </w:t>
      </w:r>
      <w:r>
        <w:rPr>
          <w:rFonts w:ascii="Liberation Sans" w:hAnsi="Liberation Sans" w:eastAsia="Liberation Sans"/>
        </w:rPr>
        <w:t xml:space="preserve">The Medical Council can investigate serious complaints about individual registered doctors and impose registration consequences, but it is not a mechanism for obtaining compensation, compelling an apology, or ordering medical-record changes.</w:t>
      </w:r>
      <w:r>
        <w:rPr>
          <w:rStyle w:val="FootnoteReference"/>
          <w:rFonts w:ascii="Liberation Sans" w:hAnsi="Liberation Sans" w:eastAsia="Liberation Sans"/>
        </w:rPr>
        <w:footnoteReference w:id="24"/>
      </w:r>
    </w:p>
    <w:p>
      <w:pPr>
        <w:pStyle w:val="BodyText"/>
        <w:widowControl/>
      </w:pPr>
      <w:r>
        <w:rPr>
          <w:rFonts w:ascii="Liberation Sans" w:hAnsi="Liberation Sans" w:eastAsia="Liberation Sans"/>
          <w:b/>
          <w:bCs/>
        </w:rPr>
        <w:t xml:space="preserve">Narrow but potentially important:</w:t>
      </w:r>
      <w:r>
        <w:rPr>
          <w:rFonts w:ascii="Liberation Sans" w:hAnsi="Liberation Sans" w:eastAsia="Liberation Sans"/>
        </w:rPr>
        <w:t xml:space="preserve"> </w:t>
      </w:r>
      <w:r>
        <w:rPr>
          <w:rFonts w:ascii="Liberation Sans" w:hAnsi="Liberation Sans" w:eastAsia="Liberation Sans"/>
        </w:rPr>
        <w:t xml:space="preserve">the Data Protection Commission (DPC), where the issue is a demonstrable factual inaccuracy, misattribution, or incompleteness of personal data rather than a request that the DPC decide whether a diagnosis was clinically correct. The DPC expressly states that it will not determine the correctness of a medical diagnosis, while Article 16 may permit completion of incomplete data by a supplementary statement.</w:t>
      </w:r>
      <w:r>
        <w:rPr>
          <w:rStyle w:val="FootnoteReference"/>
          <w:rFonts w:ascii="Liberation Sans" w:hAnsi="Liberation Sans" w:eastAsia="Liberation Sans"/>
        </w:rPr>
        <w:footnoteReference w:id="25"/>
      </w:r>
    </w:p>
    <w:p>
      <w:pPr>
        <w:pStyle w:val="BodyText"/>
        <w:widowControl/>
      </w:pPr>
      <w:r>
        <w:rPr>
          <w:rFonts w:ascii="Liberation Sans" w:hAnsi="Liberation Sans" w:eastAsia="Liberation Sans"/>
          <w:b/>
          <w:bCs/>
        </w:rPr>
        <w:t xml:space="preserve">System-intelligence or administrative routes, not substitutes for clinical adjudication:</w:t>
      </w:r>
      <w:r>
        <w:rPr>
          <w:rFonts w:ascii="Liberation Sans" w:hAnsi="Liberation Sans" w:eastAsia="Liberation Sans"/>
        </w:rPr>
        <w:t xml:space="preserve"> </w:t>
      </w:r>
      <w:r>
        <w:rPr>
          <w:rFonts w:ascii="Liberation Sans" w:hAnsi="Liberation Sans" w:eastAsia="Liberation Sans"/>
        </w:rPr>
        <w:t xml:space="preserve">HIQA can receive and assess information about services against regulations and standards, but states that it has no legal power to investigate individual complaints; the Ombudsman can examine maladministration, wrong information and complaint handling, but cannot examine clinical judgments such as diagnosis or treatment.</w:t>
      </w:r>
      <w:r>
        <w:rPr>
          <w:rStyle w:val="FootnoteReference"/>
          <w:rFonts w:ascii="Liberation Sans" w:hAnsi="Liberation Sans" w:eastAsia="Liberation Sans"/>
        </w:rPr>
        <w:footnoteReference w:id="26"/>
      </w:r>
      <w:r>
        <w:rPr>
          <w:rStyle w:val="FootnoteReference"/>
          <w:rFonts w:ascii="Liberation Sans" w:hAnsi="Liberation Sans" w:eastAsia="Liberation Sans"/>
        </w:rPr>
        <w:footnoteReference w:id="27"/>
      </w:r>
    </w:p>
    <w:p>
      <w:pPr>
        <w:pStyle w:val="BodyText"/>
        <w:widowControl/>
      </w:pPr>
      <w:r>
        <w:rPr>
          <w:rFonts w:ascii="Liberation Sans" w:hAnsi="Liberation Sans" w:eastAsia="Liberation Sans"/>
          <w:b/>
          <w:bCs/>
        </w:rPr>
        <w:t xml:space="preserve">Support rather than adjudication:</w:t>
      </w:r>
      <w:r>
        <w:rPr>
          <w:rFonts w:ascii="Liberation Sans" w:hAnsi="Liberation Sans" w:eastAsia="Liberation Sans"/>
        </w:rPr>
        <w:t xml:space="preserve"> </w:t>
      </w:r>
      <w:r>
        <w:rPr>
          <w:rFonts w:ascii="Liberation Sans" w:hAnsi="Liberation Sans" w:eastAsia="Liberation Sans"/>
        </w:rPr>
        <w:t xml:space="preserve">the Patient Advocacy Service is independent, free and confidential and can support complaints concerning public acute hospitals and the aftermath of patient-safety incidents.</w:t>
      </w:r>
      <w:r>
        <w:rPr>
          <w:rStyle w:val="FootnoteReference"/>
          <w:rFonts w:ascii="Liberation Sans" w:hAnsi="Liberation Sans" w:eastAsia="Liberation Sans"/>
        </w:rPr>
        <w:footnoteReference w:id="28"/>
      </w:r>
    </w:p>
    <w:p>
      <w:pPr>
        <w:pStyle w:val="BodyText"/>
        <w:widowControl/>
      </w:pPr>
      <w:r>
        <w:rPr>
          <w:rFonts w:ascii="Liberation Sans" w:hAnsi="Liberation Sans" w:eastAsia="Liberation Sans"/>
          <w:b/>
          <w:bCs/>
        </w:rPr>
        <w:t xml:space="preserve">Policy and scholarly audiences:</w:t>
      </w:r>
      <w:r>
        <w:rPr>
          <w:rFonts w:ascii="Liberation Sans" w:hAnsi="Liberation Sans" w:eastAsia="Liberation Sans"/>
        </w:rPr>
        <w:t xml:space="preserve"> </w:t>
      </w:r>
      <w:r>
        <w:rPr>
          <w:rFonts w:ascii="Liberation Sans" w:hAnsi="Liberation Sans" w:eastAsia="Liberation Sans"/>
        </w:rPr>
        <w:t xml:space="preserve">the Department of Health’s National Patient Safety Office (NPSO), Council of Europe CDBIO, WHO, WMA, UNESCO bioethics structures, ISQua, diagnostic-safety organisations, health-informatics communities, and medical-ethics/patient-safety researchers are relevant to a mature, de-identified, generalisable mechanism. They are not forums for deciding the individual historical complaint.</w:t>
      </w:r>
    </w:p>
    <w:bookmarkEnd w:id="29"/>
    <w:bookmarkStart w:id="35" w:name="Xaf8936ad4d92f395b1aafc099d14b60da1563d0"/>
    <w:p>
      <w:pPr>
        <w:pStyle w:val="Heading2"/>
        <w:keepNext/>
      </w:pPr>
      <w:r>
        <w:rPr>
          <w:rFonts w:ascii="Liberation Sans" w:hAnsi="Liberation Sans" w:eastAsia="Liberation Sans"/>
        </w:rPr>
        <w:t xml:space="preserve">The most important safeguard against hindsight</w:t>
      </w:r>
    </w:p>
    <w:p>
      <w:pPr>
        <w:pStyle w:val="FirstParagraph"/>
      </w:pPr>
      <w:r>
        <w:rPr>
          <w:rFonts w:ascii="Liberation Sans" w:hAnsi="Liberation Sans" w:eastAsia="Liberation Sans"/>
        </w:rPr>
        <w:t xml:space="preserve">Current standards can demonstrate the present importance of accurate, relevant, timely, well-governed health information, but they cannot simply be projected backward as the binding standard in 2017. HIQA’s National Standards for Information Management in Health and Social Care were approved in 2024, for example.</w:t>
      </w:r>
      <w:r>
        <w:rPr>
          <w:rStyle w:val="FootnoteReference"/>
          <w:rFonts w:ascii="Liberation Sans" w:hAnsi="Liberation Sans" w:eastAsia="Liberation Sans"/>
        </w:rPr>
        <w:footnoteReference w:id="30"/>
      </w:r>
      <w:r>
        <w:rPr>
          <w:rFonts w:ascii="Liberation Sans" w:hAnsi="Liberation Sans" w:eastAsia="Liberation Sans"/>
        </w:rPr>
        <w:t xml:space="preserve"> </w:t>
      </w:r>
      <w:r>
        <w:rPr>
          <w:rFonts w:ascii="Liberation Sans" w:hAnsi="Liberation Sans" w:eastAsia="Liberation Sans"/>
        </w:rPr>
        <w:t xml:space="preserve">The present HSE Open Disclosure Policy dates from 2025 and implements the contemporary statutory framework.</w:t>
      </w:r>
      <w:r>
        <w:rPr>
          <w:rStyle w:val="FootnoteReference"/>
          <w:rFonts w:ascii="Liberation Sans" w:hAnsi="Liberation Sans" w:eastAsia="Liberation Sans"/>
        </w:rPr>
        <w:footnoteReference w:id="31"/>
      </w:r>
      <w:r>
        <w:rPr>
          <w:rFonts w:ascii="Liberation Sans" w:hAnsi="Liberation Sans" w:eastAsia="Liberation Sans"/>
        </w:rPr>
        <w:t xml:space="preserve"> </w:t>
      </w:r>
      <w:r>
        <w:rPr>
          <w:rFonts w:ascii="Liberation Sans" w:hAnsi="Liberation Sans" w:eastAsia="Liberation Sans"/>
        </w:rPr>
        <w:t xml:space="preserve">A disciplinary assessment of a 2017 event must reconstruct the rules, knowledge and reasonable specialist practice at that time.</w:t>
      </w:r>
    </w:p>
    <w:p>
      <w:pPr>
        <w:pStyle w:val="BodyText"/>
        <w:widowControl/>
      </w:pPr>
      <w:r>
        <w:rPr>
          <w:rFonts w:ascii="Liberation Sans" w:hAnsi="Liberation Sans" w:eastAsia="Liberation Sans"/>
        </w:rPr>
        <w:t xml:space="preserve">That contemporaneous baseline nevertheless included an explicit Irish Medical Council obligation to keep accurate and up-to-date patient records: the 2016 eighth edition of the professional guide stated that records must be accurate, current, legible and clear, with author/date and appropriate time.</w:t>
      </w:r>
      <w:r>
        <w:rPr>
          <w:rStyle w:val="FootnoteReference"/>
          <w:rFonts w:ascii="Liberation Sans" w:hAnsi="Liberation Sans" w:eastAsia="Liberation Sans"/>
        </w:rPr>
        <w:footnoteReference w:id="32"/>
      </w:r>
      <w:r>
        <w:rPr>
          <w:rFonts w:ascii="Liberation Sans" w:hAnsi="Liberation Sans" w:eastAsia="Liberation Sans"/>
        </w:rPr>
        <w:t xml:space="preserve"> </w:t>
      </w:r>
      <w:r>
        <w:rPr>
          <w:rFonts w:ascii="Liberation Sans" w:hAnsi="Liberation Sans" w:eastAsia="Liberation Sans"/>
        </w:rPr>
        <w:t xml:space="preserve">The later PRKN result is likewise not a licence for hindsight. Its proper ethical function is narrower: it increases the retrospective biological salience of the lower-limb dystonia relationship. Importantly, lower-limb/foot dystonia in parkin disease was not a concept invented after 2017; pre-2017 literature described early lower-limb dystonia as characteristic and a 2016 study expressly examined the role of dystonia in gait abnormalities in parkin disease.</w:t>
      </w:r>
      <w:r>
        <w:rPr>
          <w:rStyle w:val="FootnoteReference"/>
          <w:rFonts w:ascii="Liberation Sans" w:hAnsi="Liberation Sans" w:eastAsia="Liberation Sans"/>
        </w:rPr>
        <w:footnoteReference w:id="33"/>
      </w:r>
      <w:r>
        <w:rPr>
          <w:rStyle w:val="FootnoteReference"/>
          <w:rFonts w:ascii="Liberation Sans" w:hAnsi="Liberation Sans" w:eastAsia="Liberation Sans"/>
        </w:rPr>
        <w:footnoteReference w:id="34"/>
      </w:r>
      <w:r>
        <w:rPr>
          <w:rFonts w:ascii="Liberation Sans" w:hAnsi="Liberation Sans" w:eastAsia="Liberation Sans"/>
        </w:rPr>
        <w:t xml:space="preserve"> </w:t>
      </w:r>
      <w:r>
        <w:rPr>
          <w:rFonts w:ascii="Liberation Sans" w:hAnsi="Liberation Sans" w:eastAsia="Liberation Sans"/>
        </w:rPr>
        <w:t xml:space="preserve">The clinical question remains what a competent neurologist reasonably should have investigated and documented in the actual 2017 context.</w:t>
      </w:r>
    </w:p>
    <w:bookmarkEnd w:id="35"/>
    <w:bookmarkEnd w:id="36"/>
    <w:bookmarkStart w:id="49" w:name="part-i-the-ethical-wrong-alleged"/>
    <w:p>
      <w:pPr>
        <w:pStyle w:val="Heading1"/>
        <w:keepNext/>
      </w:pPr>
      <w:r>
        <w:rPr>
          <w:rFonts w:ascii="Liberation Sans" w:hAnsi="Liberation Sans" w:eastAsia="Liberation Sans"/>
        </w:rPr>
        <w:t xml:space="preserve">Part I — The ethical wrong alleged</w:t>
      </w:r>
    </w:p>
    <w:bookmarkStart w:id="37" w:name="epistemic-integrity"/>
    <w:p>
      <w:pPr>
        <w:pStyle w:val="Heading2"/>
        <w:keepNext/>
      </w:pPr>
      <w:r>
        <w:rPr>
          <w:rFonts w:ascii="Liberation Sans" w:hAnsi="Liberation Sans" w:eastAsia="Liberation Sans"/>
        </w:rPr>
        <w:t xml:space="preserve">1. Epistemic integrity</w:t>
      </w:r>
    </w:p>
    <w:p>
      <w:pPr>
        <w:pStyle w:val="FirstParagraph"/>
      </w:pPr>
      <w:r>
        <w:rPr>
          <w:rFonts w:ascii="Liberation Sans" w:hAnsi="Liberation Sans" w:eastAsia="Liberation Sans"/>
        </w:rPr>
        <w:t xml:space="preserve">The primary alleged wrong is</w:t>
      </w:r>
      <w:r>
        <w:rPr>
          <w:rFonts w:ascii="Liberation Sans" w:hAnsi="Liberation Sans" w:eastAsia="Liberation Sans"/>
        </w:rPr>
        <w:t xml:space="preserve"> </w:t>
      </w:r>
      <w:r>
        <w:rPr>
          <w:rFonts w:ascii="Liberation Sans" w:hAnsi="Liberation Sans" w:eastAsia="Liberation Sans"/>
          <w:b/>
          <w:bCs/>
        </w:rPr>
        <w:t xml:space="preserve">misrepresentation of epistemic status</w:t>
      </w:r>
      <w:r>
        <w:rPr>
          <w:rFonts w:ascii="Liberation Sans" w:hAnsi="Liberation Sans" w:eastAsia="Liberation Sans"/>
        </w:rPr>
        <w:t xml:space="preserve">. Clinical documentation ethically communicates more than conclusions. It communicates what was observed, what was reported, what was inferred, what was excluded, what remains open, and—implicitly—how much epistemic work lies behind a statement such as</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not clear.</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If the unresolved feet–neurological-sign relationship had not been adequately examined, but the final specialist synthesis made it appear that the relationship had been considered to a degree sufficient to support closure, the defect would concern truthful representation of the state of knowledge.</w:t>
      </w:r>
    </w:p>
    <w:p>
      <w:pPr>
        <w:pStyle w:val="BodyText"/>
        <w:widowControl/>
      </w:pPr>
      <w:r>
        <w:rPr>
          <w:rFonts w:ascii="Liberation Sans" w:hAnsi="Liberation Sans" w:eastAsia="Liberation Sans"/>
        </w:rPr>
        <w:t xml:space="preserve">This matters even if no isolated sentence were demonstrably false. Information can mislead through selection, recoding, juxtaposition, causal weighting, omitted context, and asymmetric preservation of hypotheses. Outside medicine, behavioural research uses the term</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paltering</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for the strategic use of truthful statements to create a misleading impression; that literature is useful only as an analogy because paltering entails intention, which this review does not assume. The ethically safer clinical formulation is</w:t>
      </w:r>
      <w:r>
        <w:rPr>
          <w:rFonts w:ascii="Liberation Sans" w:hAnsi="Liberation Sans" w:eastAsia="Liberation Sans"/>
        </w:rPr>
        <w:t xml:space="preserve"> </w:t>
      </w:r>
      <w:r>
        <w:rPr>
          <w:rFonts w:ascii="Liberation Sans" w:hAnsi="Liberation Sans" w:eastAsia="Liberation Sans"/>
          <w:b/>
          <w:bCs/>
        </w:rPr>
        <w:t xml:space="preserve">truthful ingredients, misleading architecture</w:t>
      </w:r>
      <w:r>
        <w:rPr>
          <w:rFonts w:ascii="Liberation Sans" w:hAnsi="Liberation Sans" w:eastAsia="Liberation Sans"/>
        </w:rPr>
        <w:t xml:space="preserve">.</w:t>
      </w:r>
    </w:p>
    <w:bookmarkEnd w:id="37"/>
    <w:bookmarkStart w:id="40" w:name="professional-honesty-and-candour"/>
    <w:p>
      <w:pPr>
        <w:pStyle w:val="Heading2"/>
        <w:keepNext/>
      </w:pPr>
      <w:r>
        <w:rPr>
          <w:rFonts w:ascii="Liberation Sans" w:hAnsi="Liberation Sans" w:eastAsia="Liberation Sans"/>
        </w:rPr>
        <w:t xml:space="preserve">2. Professional honesty and candour</w:t>
      </w:r>
    </w:p>
    <w:p>
      <w:pPr>
        <w:pStyle w:val="FirstParagraph"/>
      </w:pPr>
      <w:r>
        <w:rPr>
          <w:rFonts w:ascii="Liberation Sans" w:hAnsi="Liberation Sans" w:eastAsia="Liberation Sans"/>
        </w:rPr>
        <w:t xml:space="preserve">Professional honesty includes not merely refraining from fabrication but avoiding documentation that overstates what is known or understates what remains unresolved. A specialist can be legitimately uncertain. The ethical concern arises if authoritative wording converts</w:t>
      </w:r>
      <w:r>
        <w:rPr>
          <w:rFonts w:ascii="Liberation Sans" w:hAnsi="Liberation Sans" w:eastAsia="Liberation Sans"/>
        </w:rPr>
        <w:t xml:space="preserve"> </w:t>
      </w:r>
      <w:r>
        <w:rPr>
          <w:rFonts w:ascii="Liberation Sans" w:hAnsi="Liberation Sans" w:eastAsia="Liberation Sans"/>
          <w:i/>
          <w:iCs/>
        </w:rPr>
        <w:t xml:space="preserve">insufficiently worked-out uncertainty</w:t>
      </w:r>
      <w:r>
        <w:rPr>
          <w:rFonts w:ascii="Liberation Sans" w:hAnsi="Liberation Sans" w:eastAsia="Liberation Sans"/>
        </w:rPr>
        <w:t xml:space="preserve"> </w:t>
      </w:r>
      <w:r>
        <w:rPr>
          <w:rFonts w:ascii="Liberation Sans" w:hAnsi="Liberation Sans" w:eastAsia="Liberation Sans"/>
        </w:rPr>
        <w:t xml:space="preserve">into</w:t>
      </w:r>
      <w:r>
        <w:rPr>
          <w:rFonts w:ascii="Liberation Sans" w:hAnsi="Liberation Sans" w:eastAsia="Liberation Sans"/>
        </w:rPr>
        <w:t xml:space="preserve"> </w:t>
      </w:r>
      <w:r>
        <w:rPr>
          <w:rFonts w:ascii="Liberation Sans" w:hAnsi="Liberation Sans" w:eastAsia="Liberation Sans"/>
          <w:i/>
          <w:iCs/>
        </w:rPr>
        <w:t xml:space="preserve">apparently earned specialist uncertainty</w:t>
      </w:r>
      <w:r>
        <w:rPr>
          <w:rFonts w:ascii="Liberation Sans" w:hAnsi="Liberation Sans" w:eastAsia="Liberation Sans"/>
        </w:rPr>
        <w:t xml:space="preserve">. The distinction is important because later clinicians cannot directly observe the original cognitive work; they infer it from the record.</w:t>
      </w:r>
    </w:p>
    <w:p>
      <w:pPr>
        <w:pStyle w:val="BodyText"/>
        <w:widowControl/>
      </w:pPr>
      <w:r>
        <w:rPr>
          <w:rFonts w:ascii="Liberation Sans" w:hAnsi="Liberation Sans" w:eastAsia="Liberation Sans"/>
        </w:rPr>
        <w:t xml:space="preserve">The WMA International Code of Medical Ethics provides a useful global comparator: it states that physicians must ensure accurate and timely medical documentation.</w:t>
      </w:r>
      <w:r>
        <w:rPr>
          <w:rStyle w:val="FootnoteReference"/>
          <w:rFonts w:ascii="Liberation Sans" w:hAnsi="Liberation Sans" w:eastAsia="Liberation Sans"/>
        </w:rPr>
        <w:footnoteReference w:id="38"/>
      </w:r>
      <w:r>
        <w:rPr>
          <w:rFonts w:ascii="Liberation Sans" w:hAnsi="Liberation Sans" w:eastAsia="Liberation Sans"/>
        </w:rPr>
        <w:t xml:space="preserve"> </w:t>
      </w:r>
      <w:r>
        <w:rPr>
          <w:rFonts w:ascii="Liberation Sans" w:hAnsi="Liberation Sans" w:eastAsia="Liberation Sans"/>
        </w:rPr>
        <w:t xml:space="preserve">In Ireland, the contemporaneous professional guide similarly required accurate and up-to-date records.</w:t>
      </w:r>
      <w:r>
        <w:rPr>
          <w:rStyle w:val="FootnoteReference"/>
          <w:rFonts w:ascii="Liberation Sans" w:hAnsi="Liberation Sans" w:eastAsia="Liberation Sans"/>
        </w:rPr>
        <w:footnoteReference w:id="39"/>
      </w:r>
      <w:r>
        <w:rPr>
          <w:rFonts w:ascii="Liberation Sans" w:hAnsi="Liberation Sans" w:eastAsia="Liberation Sans"/>
        </w:rPr>
        <w:t xml:space="preserve"> </w:t>
      </w:r>
      <w:r>
        <w:rPr>
          <w:rFonts w:ascii="Liberation Sans" w:hAnsi="Liberation Sans" w:eastAsia="Liberation Sans"/>
        </w:rPr>
        <w:t xml:space="preserve">These duties do not themselves decide the disputed facts, but they establish that documentary integrity is a core professional obligation rather than an administrative afterthought.</w:t>
      </w:r>
    </w:p>
    <w:bookmarkEnd w:id="40"/>
    <w:bookmarkStart w:id="42" w:name="X43a0de8244e012899bda4e8945e0b1bdb90fa94"/>
    <w:p>
      <w:pPr>
        <w:pStyle w:val="Heading2"/>
        <w:keepNext/>
      </w:pPr>
      <w:r>
        <w:rPr>
          <w:rFonts w:ascii="Liberation Sans" w:hAnsi="Liberation Sans" w:eastAsia="Liberation Sans"/>
        </w:rPr>
        <w:t xml:space="preserve">3. Autonomy, participation and testimonial justice</w:t>
      </w:r>
    </w:p>
    <w:p>
      <w:pPr>
        <w:pStyle w:val="FirstParagraph"/>
      </w:pPr>
      <w:r>
        <w:rPr>
          <w:rFonts w:ascii="Liberation Sans" w:hAnsi="Liberation Sans" w:eastAsia="Liberation Sans"/>
        </w:rPr>
        <w:t xml:space="preserve">If a patient expressly challenged the unresolved relationship before discharge, that challenge was itself clinically relevant information. Preserving it would not require accepting the patient’s causal theory. It would preserve the fact that the patient did not understand the central presenting problem to have been resolved and that the adequacy of the inquiry was contemporaneously contested.</w:t>
      </w:r>
    </w:p>
    <w:p>
      <w:pPr>
        <w:pStyle w:val="BodyText"/>
        <w:widowControl/>
      </w:pPr>
      <w:r>
        <w:rPr>
          <w:rFonts w:ascii="Liberation Sans" w:hAnsi="Liberation Sans" w:eastAsia="Liberation Sans"/>
        </w:rPr>
        <w:t xml:space="preserve">Carel and Kidd’s work on epistemic injustice in healthcare identifies two relevant vulnerabilities: testimonial injustice, where a patient’s credibility is unjustly downgraded, and hermeneutical injustice, where a patient’s experience is difficult to render intelligible within dominant clinical categories. They also emphasise the epistemic privilege of healthcare practitioners and institutions.</w:t>
      </w:r>
      <w:r>
        <w:rPr>
          <w:rStyle w:val="FootnoteReference"/>
          <w:rFonts w:ascii="Liberation Sans" w:hAnsi="Liberation Sans" w:eastAsia="Liberation Sans"/>
        </w:rPr>
        <w:footnoteReference w:id="41"/>
      </w:r>
      <w:r>
        <w:rPr>
          <w:rFonts w:ascii="Liberation Sans" w:hAnsi="Liberation Sans" w:eastAsia="Liberation Sans"/>
        </w:rPr>
        <w:t xml:space="preserve"> </w:t>
      </w:r>
      <w:r>
        <w:rPr>
          <w:rFonts w:ascii="Liberation Sans" w:hAnsi="Liberation Sans" w:eastAsia="Liberation Sans"/>
        </w:rPr>
        <w:t xml:space="preserve">The present mechanism is potentially more structurally specific: the record can alter not only whether a patient’s testimony is believed, but what later testimony</w:t>
      </w:r>
      <w:r>
        <w:rPr>
          <w:rFonts w:ascii="Liberation Sans" w:hAnsi="Liberation Sans" w:eastAsia="Liberation Sans"/>
        </w:rPr>
        <w:t xml:space="preserve"> </w:t>
      </w:r>
      <w:r>
        <w:rPr>
          <w:rFonts w:ascii="Liberation Sans" w:hAnsi="Liberation Sans" w:eastAsia="Liberation Sans"/>
          <w:i/>
          <w:iCs/>
        </w:rPr>
        <w:t xml:space="preserve">appears historically to be</w:t>
      </w:r>
      <w:r>
        <w:rPr>
          <w:rFonts w:ascii="Liberation Sans" w:hAnsi="Liberation Sans" w:eastAsia="Liberation Sans"/>
        </w:rPr>
        <w:t xml:space="preserve">. If the earlier protest disappears, a later repetition may look like new resistance rather than longstanding unresolved concern.</w:t>
      </w:r>
    </w:p>
    <w:bookmarkEnd w:id="42"/>
    <w:bookmarkStart w:id="43" w:name="fiduciary-and-relational-responsibility"/>
    <w:p>
      <w:pPr>
        <w:pStyle w:val="Heading2"/>
        <w:keepNext/>
      </w:pPr>
      <w:r>
        <w:rPr>
          <w:rFonts w:ascii="Liberation Sans" w:hAnsi="Liberation Sans" w:eastAsia="Liberation Sans"/>
        </w:rPr>
        <w:t xml:space="preserve">4. Fiduciary and relational responsibility</w:t>
      </w:r>
    </w:p>
    <w:p>
      <w:pPr>
        <w:pStyle w:val="FirstParagraph"/>
      </w:pPr>
      <w:r>
        <w:rPr>
          <w:rFonts w:ascii="Liberation Sans" w:hAnsi="Liberation Sans" w:eastAsia="Liberation Sans"/>
        </w:rPr>
        <w:t xml:space="preserve">Specialist care creates a relationship of dependence on expertise. A patient cannot independently audit the diagnostic search space or the meanings later clinicians will attach to a specialist summary. That asymmetry supports a duty of</w:t>
      </w:r>
      <w:r>
        <w:rPr>
          <w:rFonts w:ascii="Liberation Sans" w:hAnsi="Liberation Sans" w:eastAsia="Liberation Sans"/>
        </w:rPr>
        <w:t xml:space="preserve"> </w:t>
      </w:r>
      <w:r>
        <w:rPr>
          <w:rFonts w:ascii="Liberation Sans" w:hAnsi="Liberation Sans" w:eastAsia="Liberation Sans"/>
          <w:b/>
          <w:bCs/>
        </w:rPr>
        <w:t xml:space="preserve">relational stewardship</w:t>
      </w:r>
      <w:r>
        <w:rPr>
          <w:rFonts w:ascii="Liberation Sans" w:hAnsi="Liberation Sans" w:eastAsia="Liberation Sans"/>
        </w:rPr>
        <w:t xml:space="preserve">: where two clinically important phenomena may be causally linked, ownership of the</w:t>
      </w:r>
      <w:r>
        <w:rPr>
          <w:rFonts w:ascii="Liberation Sans" w:hAnsi="Liberation Sans" w:eastAsia="Liberation Sans"/>
        </w:rPr>
        <w:t xml:space="preserve"> </w:t>
      </w:r>
      <w:r>
        <w:rPr>
          <w:rFonts w:ascii="Liberation Sans" w:hAnsi="Liberation Sans" w:eastAsia="Liberation Sans"/>
          <w:i/>
          <w:iCs/>
        </w:rPr>
        <w:t xml:space="preserve">relationship</w:t>
      </w:r>
      <w:r>
        <w:rPr>
          <w:rFonts w:ascii="Liberation Sans" w:hAnsi="Liberation Sans" w:eastAsia="Liberation Sans"/>
        </w:rPr>
        <w:t xml:space="preserve"> </w:t>
      </w:r>
      <w:r>
        <w:rPr>
          <w:rFonts w:ascii="Liberation Sans" w:hAnsi="Liberation Sans" w:eastAsia="Liberation Sans"/>
        </w:rPr>
        <w:t xml:space="preserve">should not disappear merely because each phenomenon can be assigned a separate local pathway.</w:t>
      </w:r>
    </w:p>
    <w:p>
      <w:pPr>
        <w:pStyle w:val="BodyText"/>
        <w:widowControl/>
      </w:pPr>
      <w:r>
        <w:rPr>
          <w:rFonts w:ascii="Liberation Sans" w:hAnsi="Liberation Sans" w:eastAsia="Liberation Sans"/>
        </w:rPr>
        <w:t xml:space="preserve">Relational stewardship is not a demand for diagnostic omniscience. It is a duty to preserve ownership of an unresolved clinically important relationship until it has been proportionately assessed, explicitly transferred, or honestly left open.</w:t>
      </w:r>
    </w:p>
    <w:bookmarkEnd w:id="43"/>
    <w:bookmarkStart w:id="46" w:name="patient-safety-and-continuity"/>
    <w:p>
      <w:pPr>
        <w:pStyle w:val="Heading2"/>
        <w:keepNext/>
      </w:pPr>
      <w:r>
        <w:rPr>
          <w:rFonts w:ascii="Liberation Sans" w:hAnsi="Liberation Sans" w:eastAsia="Liberation Sans"/>
        </w:rPr>
        <w:t xml:space="preserve">5. Patient safety and continuity</w:t>
      </w:r>
    </w:p>
    <w:p>
      <w:pPr>
        <w:pStyle w:val="FirstParagraph"/>
      </w:pPr>
      <w:r>
        <w:rPr>
          <w:rFonts w:ascii="Liberation Sans" w:hAnsi="Liberation Sans" w:eastAsia="Liberation Sans"/>
        </w:rPr>
        <w:t xml:space="preserve">Patient safety literature increasingly treats information quality as a safety determinant. WHO’s Global Patient Safety Action Plan 2021–2030 is explicitly directed to reducing avoidable harm and strengthening learning across health systems.</w:t>
      </w:r>
      <w:r>
        <w:rPr>
          <w:rStyle w:val="FootnoteReference"/>
          <w:rFonts w:ascii="Liberation Sans" w:hAnsi="Liberation Sans" w:eastAsia="Liberation Sans"/>
        </w:rPr>
        <w:footnoteReference w:id="44"/>
      </w:r>
      <w:r>
        <w:rPr>
          <w:rFonts w:ascii="Liberation Sans" w:hAnsi="Liberation Sans" w:eastAsia="Liberation Sans"/>
        </w:rPr>
        <w:t xml:space="preserve"> </w:t>
      </w:r>
      <w:r>
        <w:rPr>
          <w:rFonts w:ascii="Liberation Sans" w:hAnsi="Liberation Sans" w:eastAsia="Liberation Sans"/>
        </w:rPr>
        <w:t xml:space="preserve">HSE’s current QPS architecture similarly includes incident management, safety intelligence, clinical audit and system learning.</w:t>
      </w:r>
      <w:r>
        <w:rPr>
          <w:rStyle w:val="FootnoteReference"/>
          <w:rFonts w:ascii="Liberation Sans" w:hAnsi="Liberation Sans" w:eastAsia="Liberation Sans"/>
        </w:rPr>
        <w:footnoteReference w:id="45"/>
      </w:r>
    </w:p>
    <w:p>
      <w:pPr>
        <w:pStyle w:val="BodyText"/>
        <w:widowControl/>
      </w:pPr>
      <w:r>
        <w:rPr>
          <w:rFonts w:ascii="Liberation Sans" w:hAnsi="Liberation Sans" w:eastAsia="Liberation Sans"/>
        </w:rPr>
        <w:t xml:space="preserve">The alleged mechanism is therefore safety-relevant even without a single dramatic adverse event. It can influence what questions later clinicians regard as already answered, what referrals seem indicated, what histories are repeated, and what evidence is considered surprising. This is a</w:t>
      </w:r>
      <w:r>
        <w:rPr>
          <w:rFonts w:ascii="Liberation Sans" w:hAnsi="Liberation Sans" w:eastAsia="Liberation Sans"/>
        </w:rPr>
        <w:t xml:space="preserve"> </w:t>
      </w:r>
      <w:r>
        <w:rPr>
          <w:rFonts w:ascii="Liberation Sans" w:hAnsi="Liberation Sans" w:eastAsia="Liberation Sans"/>
          <w:b/>
          <w:bCs/>
        </w:rPr>
        <w:t xml:space="preserve">continuity-of-reasoning</w:t>
      </w:r>
      <w:r>
        <w:rPr>
          <w:rFonts w:ascii="Liberation Sans" w:hAnsi="Liberation Sans" w:eastAsia="Liberation Sans"/>
        </w:rPr>
        <w:t xml:space="preserve"> </w:t>
      </w:r>
      <w:r>
        <w:rPr>
          <w:rFonts w:ascii="Liberation Sans" w:hAnsi="Liberation Sans" w:eastAsia="Liberation Sans"/>
        </w:rPr>
        <w:t xml:space="preserve">problem, not just a continuity-of-data problem.</w:t>
      </w:r>
    </w:p>
    <w:bookmarkEnd w:id="46"/>
    <w:bookmarkStart w:id="48" w:name="Xfc4bbad5b8caf0ff996400ef8ff4d6451601f1c"/>
    <w:p>
      <w:pPr>
        <w:pStyle w:val="Heading2"/>
        <w:keepNext/>
      </w:pPr>
      <w:r>
        <w:rPr>
          <w:rFonts w:ascii="Liberation Sans" w:hAnsi="Liberation Sans" w:eastAsia="Liberation Sans"/>
        </w:rPr>
        <w:t xml:space="preserve">6. Specialist authority as information-producing power</w:t>
      </w:r>
    </w:p>
    <w:p>
      <w:pPr>
        <w:pStyle w:val="FirstParagraph"/>
      </w:pPr>
      <w:r>
        <w:rPr>
          <w:rFonts w:ascii="Liberation Sans" w:hAnsi="Liberation Sans" w:eastAsia="Liberation Sans"/>
        </w:rPr>
        <w:t xml:space="preserve">A specialist summary carries authority because downstream clinicians reasonably assume that specialty-relevant possibilities have been considered to a specialty-appropriate depth. The ethical burden on the author therefore rises with the document’s expected portability and authority. A discharge synthesis can redistribute future attention and the burden of proof: a hypothesis encoded as a plausible specialist category may require little effort to preserve, while an omitted or underdeveloped alternative may require substantial new evidence to reopen.</w:t>
      </w:r>
    </w:p>
    <w:p>
      <w:pPr>
        <w:pStyle w:val="BodyText"/>
        <w:widowControl/>
      </w:pPr>
      <w:r>
        <w:rPr>
          <w:rFonts w:ascii="Liberation Sans" w:hAnsi="Liberation Sans" w:eastAsia="Liberation Sans"/>
        </w:rPr>
        <w:t xml:space="preserve">This yields a central proposition:</w:t>
      </w:r>
    </w:p>
    <w:p>
      <w:pPr>
        <w:pStyle w:val="BlockText"/>
      </w:pPr>
      <w:r>
        <w:rPr>
          <w:rFonts w:ascii="Liberation Sans" w:hAnsi="Liberation Sans" w:eastAsia="Liberation Sans"/>
          <w:b/>
          <w:bCs/>
        </w:rPr>
        <w:t xml:space="preserve">A medical record does not merely preserve knowledge. It governs the future distribution of doubt.</w:t>
      </w:r>
    </w:p>
    <w:p>
      <w:pPr>
        <w:pStyle w:val="FirstParagraph"/>
      </w:pPr>
      <w:r>
        <w:rPr>
          <w:rFonts w:ascii="Liberation Sans" w:hAnsi="Liberation Sans" w:eastAsia="Liberation Sans"/>
        </w:rPr>
        <w:t xml:space="preserve">Berg and Bowker’s sociology of the medical record provides a close theoretical analogue: the record does not simply represent a patient’s history; it participates in materially rewriting and coordinating clinical realities.</w:t>
      </w:r>
      <w:r>
        <w:rPr>
          <w:rStyle w:val="FootnoteReference"/>
          <w:rFonts w:ascii="Liberation Sans" w:hAnsi="Liberation Sans" w:eastAsia="Liberation Sans"/>
        </w:rPr>
        <w:footnoteReference w:id="47"/>
      </w:r>
      <w:r>
        <w:rPr>
          <w:rFonts w:ascii="Liberation Sans" w:hAnsi="Liberation Sans" w:eastAsia="Liberation Sans"/>
        </w:rPr>
        <w:t xml:space="preserve"> </w:t>
      </w:r>
      <w:r>
        <w:rPr>
          <w:rFonts w:ascii="Liberation Sans" w:hAnsi="Liberation Sans" w:eastAsia="Liberation Sans"/>
        </w:rPr>
        <w:t xml:space="preserve">The proposed mechanism adds an explicitly normative dimension: because documentation coordinates future doubt, the author has prospective obligations to represent the epistemic state faithfully.</w:t>
      </w:r>
    </w:p>
    <w:bookmarkEnd w:id="48"/>
    <w:bookmarkEnd w:id="49"/>
    <w:bookmarkStart w:id="52" w:name="part-ii-omission-of-the-protest"/>
    <w:p>
      <w:pPr>
        <w:pStyle w:val="Heading1"/>
        <w:keepNext/>
      </w:pPr>
      <w:r>
        <w:rPr>
          <w:rFonts w:ascii="Liberation Sans" w:hAnsi="Liberation Sans" w:eastAsia="Liberation Sans"/>
        </w:rPr>
        <w:t xml:space="preserve">Part II — Omission of the Protest</w:t>
      </w:r>
    </w:p>
    <w:p>
      <w:pPr>
        <w:pStyle w:val="FirstParagraph"/>
      </w:pPr>
      <w:r>
        <w:rPr>
          <w:rFonts w:ascii="Liberation Sans" w:hAnsi="Liberation Sans" w:eastAsia="Liberation Sans"/>
        </w:rPr>
        <w:t xml:space="preserve">For this analytical branch, assume the Protest occurred substantially as described. Its absence from the surviving record must not be used as circular proof that it did not occur; that would simply reproduce the informational effect under examination.</w:t>
      </w:r>
    </w:p>
    <w:bookmarkStart w:id="50" w:name="X7c92791a4b18feb14a1b62cd008bfcafad549a2"/>
    <w:p>
      <w:pPr>
        <w:pStyle w:val="Heading2"/>
        <w:keepNext/>
      </w:pPr>
      <w:r>
        <w:rPr>
          <w:rFonts w:ascii="Liberation Sans" w:hAnsi="Liberation Sans" w:eastAsia="Liberation Sans"/>
        </w:rPr>
        <w:t xml:space="preserve">The Protest as an epistemic warning label</w:t>
      </w:r>
    </w:p>
    <w:p>
      <w:pPr>
        <w:pStyle w:val="FirstParagraph"/>
      </w:pPr>
      <w:r>
        <w:rPr>
          <w:rFonts w:ascii="Liberation Sans" w:hAnsi="Liberation Sans" w:eastAsia="Liberation Sans"/>
        </w:rPr>
        <w:t xml:space="preserve">An explicit pre-discharge challenge that</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the feet remain unresolved</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would perform at least six functions in a record:</w:t>
      </w:r>
    </w:p>
    <w:p>
      <w:pPr>
        <w:pStyle w:val="Compact"/>
        <w:numPr>
          <w:ilvl w:val="0"/>
          <w:numId w:val="1001"/>
        </w:numPr>
      </w:pPr>
      <w:r>
        <w:rPr>
          <w:rFonts w:ascii="Liberation Sans" w:hAnsi="Liberation Sans" w:eastAsia="Liberation Sans"/>
        </w:rPr>
        <w:t xml:space="preserve">it would preserve the patient’s contemporaneous non-agreement with the apparent resolution;</w:t>
      </w:r>
    </w:p>
    <w:p>
      <w:pPr>
        <w:pStyle w:val="Compact"/>
        <w:numPr>
          <w:ilvl w:val="0"/>
          <w:numId w:val="1001"/>
        </w:numPr>
      </w:pPr>
      <w:r>
        <w:rPr>
          <w:rFonts w:ascii="Liberation Sans" w:hAnsi="Liberation Sans" w:eastAsia="Liberation Sans"/>
        </w:rPr>
        <w:t xml:space="preserve">it would warn later clinicians that the adequacy of the relational assessment had been disputed before the record was finalised;</w:t>
      </w:r>
    </w:p>
    <w:p>
      <w:pPr>
        <w:pStyle w:val="Compact"/>
        <w:numPr>
          <w:ilvl w:val="0"/>
          <w:numId w:val="1001"/>
        </w:numPr>
      </w:pPr>
      <w:r>
        <w:rPr>
          <w:rFonts w:ascii="Liberation Sans" w:hAnsi="Liberation Sans" w:eastAsia="Liberation Sans"/>
        </w:rPr>
        <w:t xml:space="preserve">it would distinguish</w:t>
      </w:r>
      <w:r>
        <w:rPr>
          <w:rFonts w:ascii="Liberation Sans" w:hAnsi="Liberation Sans" w:eastAsia="Liberation Sans"/>
        </w:rPr>
        <w:t xml:space="preserve"> </w:t>
      </w:r>
      <w:r>
        <w:rPr>
          <w:rFonts w:ascii="Liberation Sans" w:hAnsi="Liberation Sans" w:eastAsia="Liberation Sans"/>
          <w:i/>
          <w:iCs/>
        </w:rPr>
        <w:t xml:space="preserve">uncertainty after adequate investigation</w:t>
      </w:r>
      <w:r>
        <w:rPr>
          <w:rFonts w:ascii="Liberation Sans" w:hAnsi="Liberation Sans" w:eastAsia="Liberation Sans"/>
        </w:rPr>
        <w:t xml:space="preserve"> </w:t>
      </w:r>
      <w:r>
        <w:rPr>
          <w:rFonts w:ascii="Liberation Sans" w:hAnsi="Liberation Sans" w:eastAsia="Liberation Sans"/>
        </w:rPr>
        <w:t xml:space="preserve">from</w:t>
      </w:r>
      <w:r>
        <w:rPr>
          <w:rFonts w:ascii="Liberation Sans" w:hAnsi="Liberation Sans" w:eastAsia="Liberation Sans"/>
        </w:rPr>
        <w:t xml:space="preserve"> </w:t>
      </w:r>
      <w:r>
        <w:rPr>
          <w:rFonts w:ascii="Liberation Sans" w:hAnsi="Liberation Sans" w:eastAsia="Liberation Sans"/>
          <w:i/>
          <w:iCs/>
        </w:rPr>
        <w:t xml:space="preserve">uncertainty still contested as inadequately investigated</w:t>
      </w:r>
      <w:r>
        <w:rPr>
          <w:rFonts w:ascii="Liberation Sans" w:hAnsi="Liberation Sans" w:eastAsia="Liberation Sans"/>
        </w:rPr>
        <w:t xml:space="preserve">;</w:t>
      </w:r>
    </w:p>
    <w:p>
      <w:pPr>
        <w:pStyle w:val="Compact"/>
        <w:numPr>
          <w:ilvl w:val="0"/>
          <w:numId w:val="1001"/>
        </w:numPr>
      </w:pPr>
      <w:r>
        <w:rPr>
          <w:rFonts w:ascii="Liberation Sans" w:hAnsi="Liberation Sans" w:eastAsia="Liberation Sans"/>
        </w:rPr>
        <w:t xml:space="preserve">it would preserve an alternative historical interpretation of later dissent;</w:t>
      </w:r>
    </w:p>
    <w:p>
      <w:pPr>
        <w:pStyle w:val="Compact"/>
        <w:numPr>
          <w:ilvl w:val="0"/>
          <w:numId w:val="1001"/>
        </w:numPr>
      </w:pPr>
      <w:r>
        <w:rPr>
          <w:rFonts w:ascii="Liberation Sans" w:hAnsi="Liberation Sans" w:eastAsia="Liberation Sans"/>
        </w:rPr>
        <w:t xml:space="preserve">it would give complaint and governance reviewers a contemporaneous reason to inspect the relational reasoning rather than assume closure; and</w:t>
      </w:r>
    </w:p>
    <w:p>
      <w:pPr>
        <w:pStyle w:val="Compact"/>
        <w:numPr>
          <w:ilvl w:val="0"/>
          <w:numId w:val="1001"/>
        </w:numPr>
      </w:pPr>
      <w:r>
        <w:rPr>
          <w:rFonts w:ascii="Liberation Sans" w:hAnsi="Liberation Sans" w:eastAsia="Liberation Sans"/>
        </w:rPr>
        <w:t xml:space="preserve">it would preserve the health system’s memory of its own uncertainty.</w:t>
      </w:r>
    </w:p>
    <w:p>
      <w:pPr>
        <w:pStyle w:val="FirstParagraph"/>
      </w:pPr>
      <w:r>
        <w:rPr>
          <w:rFonts w:ascii="Liberation Sans" w:hAnsi="Liberation Sans" w:eastAsia="Liberation Sans"/>
        </w:rPr>
        <w:t xml:space="preserve">If omitted, the ethical effect can be described as</w:t>
      </w:r>
      <w:r>
        <w:rPr>
          <w:rFonts w:ascii="Liberation Sans" w:hAnsi="Liberation Sans" w:eastAsia="Liberation Sans"/>
        </w:rPr>
        <w:t xml:space="preserve"> </w:t>
      </w:r>
      <w:r>
        <w:rPr>
          <w:rFonts w:ascii="Liberation Sans" w:hAnsi="Liberation Sans" w:eastAsia="Liberation Sans"/>
          <w:b/>
          <w:bCs/>
        </w:rPr>
        <w:t xml:space="preserve">epistemic warning-label removal</w:t>
      </w:r>
      <w:r>
        <w:rPr>
          <w:rFonts w:ascii="Liberation Sans" w:hAnsi="Liberation Sans" w:eastAsia="Liberation Sans"/>
        </w:rPr>
        <w:t xml:space="preserve">. This is not automatically misconduct: omissions can be inadvertent, judgments about relevance can be reasonable, and memory can be contested. But if the omitted protest was material to the central unresolved problem and the authoritative record was still being completed, its omission would be ethically significant because it changes the information state inherited by people who were not present.</w:t>
      </w:r>
    </w:p>
    <w:bookmarkEnd w:id="50"/>
    <w:bookmarkStart w:id="51" w:name="patient-agreement-and-later-credibility"/>
    <w:p>
      <w:pPr>
        <w:pStyle w:val="Heading2"/>
        <w:keepNext/>
      </w:pPr>
      <w:r>
        <w:rPr>
          <w:rFonts w:ascii="Liberation Sans" w:hAnsi="Liberation Sans" w:eastAsia="Liberation Sans"/>
        </w:rPr>
        <w:t xml:space="preserve">Patient agreement and later credibility</w:t>
      </w:r>
    </w:p>
    <w:p>
      <w:pPr>
        <w:pStyle w:val="FirstParagraph"/>
      </w:pPr>
      <w:r>
        <w:rPr>
          <w:rFonts w:ascii="Liberation Sans" w:hAnsi="Liberation Sans" w:eastAsia="Liberation Sans"/>
        </w:rPr>
        <w:t xml:space="preserve">A record that contains clinician uncertainty but not the patient’s contemporaneous challenge can create an appearance of greater shared understanding than actually existed. Years later, the patient’s effort to reassert the original relationship can then be reframed—without deliberate bad faith by later clinicians—as resistance to an established diagnosis. The ethical harm is thus partly temporal: deletion of an earlier dissent changes the apparent age and meaning of later dissent.</w:t>
      </w:r>
    </w:p>
    <w:p>
      <w:pPr>
        <w:pStyle w:val="BodyText"/>
        <w:widowControl/>
      </w:pPr>
      <w:r>
        <w:rPr>
          <w:rFonts w:ascii="Liberation Sans" w:hAnsi="Liberation Sans" w:eastAsia="Liberation Sans"/>
        </w:rPr>
        <w:t xml:space="preserve">This connects directly with testimonial injustice. However, the distinctive claim is not simply that the patient was disbelieved. It is that documentary omission may alter the</w:t>
      </w:r>
      <w:r>
        <w:rPr>
          <w:rFonts w:ascii="Liberation Sans" w:hAnsi="Liberation Sans" w:eastAsia="Liberation Sans"/>
        </w:rPr>
        <w:t xml:space="preserve"> </w:t>
      </w:r>
      <w:r>
        <w:rPr>
          <w:rFonts w:ascii="Liberation Sans" w:hAnsi="Liberation Sans" w:eastAsia="Liberation Sans"/>
          <w:i/>
          <w:iCs/>
        </w:rPr>
        <w:t xml:space="preserve">historical credentials</w:t>
      </w:r>
      <w:r>
        <w:rPr>
          <w:rFonts w:ascii="Liberation Sans" w:hAnsi="Liberation Sans" w:eastAsia="Liberation Sans"/>
        </w:rPr>
        <w:t xml:space="preserve"> </w:t>
      </w:r>
      <w:r>
        <w:rPr>
          <w:rFonts w:ascii="Liberation Sans" w:hAnsi="Liberation Sans" w:eastAsia="Liberation Sans"/>
        </w:rPr>
        <w:t xml:space="preserve">of the patient’s testimony.</w:t>
      </w:r>
    </w:p>
    <w:bookmarkEnd w:id="51"/>
    <w:bookmarkEnd w:id="52"/>
    <w:bookmarkStart w:id="59" w:name="part-iii-the-microconstruction"/>
    <w:p>
      <w:pPr>
        <w:pStyle w:val="Heading1"/>
        <w:keepNext/>
      </w:pPr>
      <w:r>
        <w:rPr>
          <w:rFonts w:ascii="Liberation Sans" w:hAnsi="Liberation Sans" w:eastAsia="Liberation Sans"/>
        </w:rPr>
        <w:t xml:space="preserve">Part III — The microconstruction</w:t>
      </w:r>
    </w:p>
    <w:p>
      <w:pPr>
        <w:pStyle w:val="FirstParagraph"/>
      </w:pPr>
      <w:r>
        <w:rPr>
          <w:rFonts w:ascii="Liberation Sans" w:hAnsi="Liberation Sans" w:eastAsia="Liberation Sans"/>
        </w:rPr>
        <w:t xml:space="preserve">The phrase cluster should be analysed cumulatively, not atomistically. The alleged sequence is: structural foot pathology / pain;</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burning</w:t>
      </w:r>
      <w:r>
        <w:rPr>
          <w:rFonts w:ascii="Liberation Sans" w:hAnsi="Liberation Sans" w:eastAsia="Liberation Sans"/>
        </w:rPr>
        <w:t xml:space="preserve">”</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leg pain</w:t>
      </w:r>
      <w:r>
        <w:rPr>
          <w:rFonts w:ascii="Liberation Sans" w:hAnsi="Liberation Sans" w:eastAsia="Liberation Sans"/>
        </w:rPr>
        <w:t xml:space="preserve">”</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markedly divorced</w:t>
      </w:r>
      <w:r>
        <w:rPr>
          <w:rFonts w:ascii="Liberation Sans" w:hAnsi="Liberation Sans" w:eastAsia="Liberation Sans"/>
        </w:rPr>
        <w:t xml:space="preserve">”</w:t>
      </w:r>
      <w:r>
        <w:rPr>
          <w:rFonts w:ascii="Liberation Sans" w:hAnsi="Liberation Sans" w:eastAsia="Liberation Sans"/>
        </w:rPr>
        <w:t xml:space="preserve">; genuine alcohol exposure; possible secondary peripheral neuropathy;</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Not clear as this has improved</w:t>
      </w:r>
      <w:r>
        <w:rPr>
          <w:rFonts w:ascii="Liberation Sans" w:hAnsi="Liberation Sans" w:eastAsia="Liberation Sans"/>
        </w:rPr>
        <w:t xml:space="preserve">”</w:t>
      </w:r>
      <w:r>
        <w:rPr>
          <w:rFonts w:ascii="Liberation Sans" w:hAnsi="Liberation Sans" w:eastAsia="Liberation Sans"/>
        </w:rPr>
        <w:t xml:space="preserve">; and PARK9 framed as</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the neuropathy question.</w:t>
      </w:r>
      <w:r>
        <w:rPr>
          <w:rFonts w:ascii="Liberation Sans" w:hAnsi="Liberation Sans" w:eastAsia="Liberation Sans"/>
        </w:rPr>
        <w:t xml:space="preserve">”</w:t>
      </w:r>
    </w:p>
    <w:bookmarkStart w:id="53" w:name="what-the-architecture-could-accomplish"/>
    <w:p>
      <w:pPr>
        <w:pStyle w:val="Heading2"/>
        <w:keepNext/>
      </w:pPr>
      <w:r>
        <w:rPr>
          <w:rFonts w:ascii="Liberation Sans" w:hAnsi="Liberation Sans" w:eastAsia="Liberation Sans"/>
        </w:rPr>
        <w:t xml:space="preserve">What the architecture could accomplish</w:t>
      </w:r>
    </w:p>
    <w:p>
      <w:pPr>
        <w:pStyle w:val="FirstParagraph"/>
      </w:pPr>
      <w:r>
        <w:rPr>
          <w:rFonts w:ascii="Liberation Sans" w:hAnsi="Liberation Sans" w:eastAsia="Liberation Sans"/>
        </w:rPr>
        <w:t xml:space="preserve">If the provenance and contextual meaning of those phrases were established as alleged, the cluster could perform six linked functions:</w:t>
      </w:r>
    </w:p>
    <w:p>
      <w:pPr>
        <w:pStyle w:val="Compact"/>
        <w:numPr>
          <w:ilvl w:val="0"/>
          <w:numId w:val="1002"/>
        </w:numPr>
      </w:pPr>
      <w:r>
        <w:rPr>
          <w:rFonts w:ascii="Liberation Sans" w:hAnsi="Liberation Sans" w:eastAsia="Liberation Sans"/>
          <w:b/>
          <w:bCs/>
        </w:rPr>
        <w:t xml:space="preserve">Topological recoding:</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leg pain</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may move the historical object away from specifically painful feet and their structural/postural relationship.</w:t>
      </w:r>
    </w:p>
    <w:p>
      <w:pPr>
        <w:pStyle w:val="Compact"/>
        <w:numPr>
          <w:ilvl w:val="0"/>
          <w:numId w:val="1002"/>
        </w:numPr>
      </w:pPr>
      <w:r>
        <w:rPr>
          <w:rFonts w:ascii="Liberation Sans" w:hAnsi="Liberation Sans" w:eastAsia="Liberation Sans"/>
          <w:b/>
          <w:bCs/>
        </w:rPr>
        <w:t xml:space="preserve">Sensory recoding:</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burning</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supplies a quality compatible with neuropathic reasoning.</w:t>
      </w:r>
    </w:p>
    <w:p>
      <w:pPr>
        <w:pStyle w:val="Compact"/>
        <w:numPr>
          <w:ilvl w:val="0"/>
          <w:numId w:val="1002"/>
        </w:numPr>
      </w:pPr>
      <w:r>
        <w:rPr>
          <w:rFonts w:ascii="Liberation Sans" w:hAnsi="Liberation Sans" w:eastAsia="Liberation Sans"/>
          <w:b/>
          <w:bCs/>
        </w:rPr>
        <w:t xml:space="preserve">Causal separation:</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markedly divorced</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may convert a patient’s phenomenological distinction between tension and pain into a stronger causal separation than the patient intended.</w:t>
      </w:r>
    </w:p>
    <w:p>
      <w:pPr>
        <w:pStyle w:val="Compact"/>
        <w:numPr>
          <w:ilvl w:val="0"/>
          <w:numId w:val="1002"/>
        </w:numPr>
      </w:pPr>
      <w:r>
        <w:rPr>
          <w:rFonts w:ascii="Liberation Sans" w:hAnsi="Liberation Sans" w:eastAsia="Liberation Sans"/>
          <w:b/>
          <w:bCs/>
        </w:rPr>
        <w:t xml:space="preserve">Etiological support:</w:t>
      </w:r>
      <w:r>
        <w:rPr>
          <w:rFonts w:ascii="Liberation Sans" w:hAnsi="Liberation Sans" w:eastAsia="Liberation Sans"/>
        </w:rPr>
        <w:t xml:space="preserve"> </w:t>
      </w:r>
      <w:r>
        <w:rPr>
          <w:rFonts w:ascii="Liberation Sans" w:hAnsi="Liberation Sans" w:eastAsia="Liberation Sans"/>
        </w:rPr>
        <w:t xml:space="preserve">genuine alcohol exposure can supply a plausible acquired neuropathy cause.</w:t>
      </w:r>
    </w:p>
    <w:p>
      <w:pPr>
        <w:pStyle w:val="Compact"/>
        <w:numPr>
          <w:ilvl w:val="0"/>
          <w:numId w:val="1002"/>
        </w:numPr>
      </w:pPr>
      <w:r>
        <w:rPr>
          <w:rFonts w:ascii="Liberation Sans" w:hAnsi="Liberation Sans" w:eastAsia="Liberation Sans"/>
          <w:b/>
          <w:bCs/>
        </w:rPr>
        <w:t xml:space="preserve">Category formation:</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possible secondary peripheral neuropathy</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converts the object into an authorised specialist differential.</w:t>
      </w:r>
    </w:p>
    <w:p>
      <w:pPr>
        <w:pStyle w:val="Compact"/>
        <w:numPr>
          <w:ilvl w:val="0"/>
          <w:numId w:val="1002"/>
        </w:numPr>
      </w:pPr>
      <w:r>
        <w:rPr>
          <w:rFonts w:ascii="Liberation Sans" w:hAnsi="Liberation Sans" w:eastAsia="Liberation Sans"/>
          <w:b/>
          <w:bCs/>
        </w:rPr>
        <w:t xml:space="preserve">Future preservation:</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not clear as this has improved</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and a named</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neuropathy question</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permit the hypothesis to survive uncertainty and acquire a future position in specialist reasoning.</w:t>
      </w:r>
    </w:p>
    <w:p>
      <w:pPr>
        <w:pStyle w:val="FirstParagraph"/>
      </w:pPr>
      <w:r>
        <w:rPr>
          <w:rFonts w:ascii="Liberation Sans" w:hAnsi="Liberation Sans" w:eastAsia="Liberation Sans"/>
        </w:rPr>
        <w:t xml:space="preserve">No single move must be false for the collective architecture to matter. The ethical question is whether the final synthesis fairly represented the evidential weight, provenance and unresolved alternatives.</w:t>
      </w:r>
    </w:p>
    <w:bookmarkEnd w:id="53"/>
    <w:bookmarkStart w:id="54" w:name="asymmetric-explanatory-futures"/>
    <w:p>
      <w:pPr>
        <w:pStyle w:val="Heading2"/>
        <w:keepNext/>
      </w:pPr>
      <w:r>
        <w:rPr>
          <w:rFonts w:ascii="Liberation Sans" w:hAnsi="Liberation Sans" w:eastAsia="Liberation Sans"/>
        </w:rPr>
        <w:t xml:space="preserve">Asymmetric explanatory futures</w:t>
      </w:r>
    </w:p>
    <w:p>
      <w:pPr>
        <w:pStyle w:val="FirstParagraph"/>
      </w:pPr>
      <w:r>
        <w:rPr>
          <w:rFonts w:ascii="Liberation Sans" w:hAnsi="Liberation Sans" w:eastAsia="Liberation Sans"/>
        </w:rPr>
        <w:t xml:space="preserve">The most important comparative test is not</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was neuropathy possible?</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It is whether competing explanations received proportionate</w:t>
      </w:r>
      <w:r>
        <w:rPr>
          <w:rFonts w:ascii="Liberation Sans" w:hAnsi="Liberation Sans" w:eastAsia="Liberation Sans"/>
        </w:rPr>
        <w:t xml:space="preserve"> </w:t>
      </w:r>
      <w:r>
        <w:rPr>
          <w:rFonts w:ascii="Liberation Sans" w:hAnsi="Liberation Sans" w:eastAsia="Liberation Sans"/>
          <w:b/>
          <w:bCs/>
        </w:rPr>
        <w:t xml:space="preserve">explanatory infrastructure</w:t>
      </w:r>
      <w:r>
        <w:rPr>
          <w:rFonts w:ascii="Liberation Sans" w:hAnsi="Liberation Sans" w:eastAsia="Liberation Sans"/>
        </w:rPr>
        <w:t xml:space="preserve">. If an unproved peripheral hypothesis received vocabulary, causes, categories and future diagnostic positions, while an observed dystonic-looking lower-limb phenomenon received no equivalent relational pathway connecting posture, gait, loading and painful feet, the architecture may have been asymmetric.</w:t>
      </w:r>
    </w:p>
    <w:p>
      <w:pPr>
        <w:pStyle w:val="BodyText"/>
        <w:widowControl/>
      </w:pPr>
      <w:r>
        <w:rPr>
          <w:rFonts w:ascii="Liberation Sans" w:hAnsi="Liberation Sans" w:eastAsia="Liberation Sans"/>
        </w:rPr>
        <w:t xml:space="preserve">This does not require equal word counts. It requires proportional epistemic treatment. An observed sign and a speculative hypothesis can properly receive different attention; the question is whether the asymmetry reflected evidence or whether the documentation itself created a durable imbalance in what later readers would regard as open.</w:t>
      </w:r>
    </w:p>
    <w:bookmarkEnd w:id="54"/>
    <w:bookmarkStart w:id="58" w:name="close-analogues-in-literature"/>
    <w:p>
      <w:pPr>
        <w:pStyle w:val="Heading2"/>
        <w:keepNext/>
      </w:pPr>
      <w:r>
        <w:rPr>
          <w:rFonts w:ascii="Liberation Sans" w:hAnsi="Liberation Sans" w:eastAsia="Liberation Sans"/>
        </w:rPr>
        <w:t xml:space="preserve">Close analogues in literature</w:t>
      </w:r>
    </w:p>
    <w:p>
      <w:pPr>
        <w:pStyle w:val="FirstParagraph"/>
      </w:pPr>
      <w:r>
        <w:rPr>
          <w:rFonts w:ascii="Liberation Sans" w:hAnsi="Liberation Sans" w:eastAsia="Liberation Sans"/>
        </w:rPr>
        <w:t xml:space="preserve">Three literatures are especially relevant.</w:t>
      </w:r>
    </w:p>
    <w:p>
      <w:pPr>
        <w:pStyle w:val="BodyText"/>
        <w:widowControl/>
      </w:pPr>
      <w:r>
        <w:rPr>
          <w:rFonts w:ascii="Liberation Sans" w:hAnsi="Liberation Sans" w:eastAsia="Liberation Sans"/>
        </w:rPr>
        <w:t xml:space="preserve">First, research on record language demonstrates that medically equivalent facts can have different downstream effects depending on wording. In a randomized vignette study, trainees who read a stigmatizing note developed more negative attitudes and selected less aggressive pain treatment than those reading a neutral note.</w:t>
      </w:r>
      <w:r>
        <w:rPr>
          <w:rStyle w:val="FootnoteReference"/>
          <w:rFonts w:ascii="Liberation Sans" w:hAnsi="Liberation Sans" w:eastAsia="Liberation Sans"/>
        </w:rPr>
        <w:footnoteReference w:id="55"/>
      </w:r>
    </w:p>
    <w:p>
      <w:pPr>
        <w:pStyle w:val="BodyText"/>
        <w:widowControl/>
      </w:pPr>
      <w:r>
        <w:rPr>
          <w:rFonts w:ascii="Liberation Sans" w:hAnsi="Liberation Sans" w:eastAsia="Liberation Sans"/>
        </w:rPr>
        <w:t xml:space="preserve">Second, EHR copy-forward research shows that provenance and repeated text matter for patient safety. A systematic review recommended making copied material identifiable and preserving its provenance because reused information can propagate outdated or inaccurate content.</w:t>
      </w:r>
      <w:r>
        <w:rPr>
          <w:rStyle w:val="FootnoteReference"/>
          <w:rFonts w:ascii="Liberation Sans" w:hAnsi="Liberation Sans" w:eastAsia="Liberation Sans"/>
        </w:rPr>
        <w:footnoteReference w:id="56"/>
      </w:r>
    </w:p>
    <w:p>
      <w:pPr>
        <w:pStyle w:val="BodyText"/>
        <w:widowControl/>
      </w:pPr>
      <w:r>
        <w:rPr>
          <w:rFonts w:ascii="Liberation Sans" w:hAnsi="Liberation Sans" w:eastAsia="Liberation Sans"/>
        </w:rPr>
        <w:t xml:space="preserve">Third, sociology of medical records treats documentation as active infrastructure in clinical work.</w:t>
      </w:r>
      <w:r>
        <w:rPr>
          <w:rStyle w:val="FootnoteReference"/>
          <w:rFonts w:ascii="Liberation Sans" w:hAnsi="Liberation Sans" w:eastAsia="Liberation Sans"/>
        </w:rPr>
        <w:footnoteReference w:id="57"/>
      </w:r>
    </w:p>
    <w:p>
      <w:pPr>
        <w:pStyle w:val="BodyText"/>
        <w:widowControl/>
      </w:pPr>
      <w:r>
        <w:rPr>
          <w:rFonts w:ascii="Liberation Sans" w:hAnsi="Liberation Sans" w:eastAsia="Liberation Sans"/>
        </w:rPr>
        <w:t xml:space="preserve">Together, these sources support the possibility of documentary causation. They do</w:t>
      </w:r>
      <w:r>
        <w:rPr>
          <w:rFonts w:ascii="Liberation Sans" w:hAnsi="Liberation Sans" w:eastAsia="Liberation Sans"/>
        </w:rPr>
        <w:t xml:space="preserve"> </w:t>
      </w:r>
      <w:r>
        <w:rPr>
          <w:rFonts w:ascii="Liberation Sans" w:hAnsi="Liberation Sans" w:eastAsia="Liberation Sans"/>
          <w:b/>
          <w:bCs/>
        </w:rPr>
        <w:t xml:space="preserve">not</w:t>
      </w:r>
      <w:r>
        <w:rPr>
          <w:rFonts w:ascii="Liberation Sans" w:hAnsi="Liberation Sans" w:eastAsia="Liberation Sans"/>
        </w:rPr>
        <w:t xml:space="preserve"> </w:t>
      </w:r>
      <w:r>
        <w:rPr>
          <w:rFonts w:ascii="Liberation Sans" w:hAnsi="Liberation Sans" w:eastAsia="Liberation Sans"/>
        </w:rPr>
        <w:t xml:space="preserve">prove that the disputed phrases in this case had the alleged meaning or were intentionally constructed. That requires source-level provenance, context and expert assessment.</w:t>
      </w:r>
    </w:p>
    <w:bookmarkEnd w:id="58"/>
    <w:bookmarkEnd w:id="59"/>
    <w:bookmarkStart w:id="62" w:name="part-iv-specialist-documentary-authority"/>
    <w:p>
      <w:pPr>
        <w:pStyle w:val="Heading1"/>
        <w:keepNext/>
      </w:pPr>
      <w:r>
        <w:rPr>
          <w:rFonts w:ascii="Liberation Sans" w:hAnsi="Liberation Sans" w:eastAsia="Liberation Sans"/>
        </w:rPr>
        <w:t xml:space="preserve">Part IV — Specialist documentary authority</w:t>
      </w:r>
    </w:p>
    <w:bookmarkStart w:id="60" w:name="X07d2100dbcae79842cd45dcf984cb65f716c08c"/>
    <w:p>
      <w:pPr>
        <w:pStyle w:val="Heading2"/>
        <w:keepNext/>
      </w:pPr>
      <w:r>
        <w:rPr>
          <w:rFonts w:ascii="Liberation Sans" w:hAnsi="Liberation Sans" w:eastAsia="Liberation Sans"/>
        </w:rPr>
        <w:t xml:space="preserve">Prospective obligations of an authoritative synthesis</w:t>
      </w:r>
    </w:p>
    <w:p>
      <w:pPr>
        <w:pStyle w:val="FirstParagraph"/>
      </w:pPr>
      <w:r>
        <w:rPr>
          <w:rFonts w:ascii="Liberation Sans" w:hAnsi="Liberation Sans" w:eastAsia="Liberation Sans"/>
        </w:rPr>
        <w:t xml:space="preserve">A specialist discharge/clinic synthesis can reasonably be expected to:</w:t>
      </w:r>
    </w:p>
    <w:p>
      <w:pPr>
        <w:pStyle w:val="Compact"/>
        <w:numPr>
          <w:ilvl w:val="0"/>
          <w:numId w:val="1003"/>
        </w:numPr>
      </w:pPr>
      <w:r>
        <w:rPr>
          <w:rFonts w:ascii="Liberation Sans" w:hAnsi="Liberation Sans" w:eastAsia="Liberation Sans"/>
        </w:rPr>
        <w:t xml:space="preserve">identify the principal problems addressed;</w:t>
      </w:r>
    </w:p>
    <w:p>
      <w:pPr>
        <w:pStyle w:val="Compact"/>
        <w:numPr>
          <w:ilvl w:val="0"/>
          <w:numId w:val="1003"/>
        </w:numPr>
      </w:pPr>
      <w:r>
        <w:rPr>
          <w:rFonts w:ascii="Liberation Sans" w:hAnsi="Liberation Sans" w:eastAsia="Liberation Sans"/>
        </w:rPr>
        <w:t xml:space="preserve">distinguish observation from inference;</w:t>
      </w:r>
    </w:p>
    <w:p>
      <w:pPr>
        <w:pStyle w:val="Compact"/>
        <w:numPr>
          <w:ilvl w:val="0"/>
          <w:numId w:val="1003"/>
        </w:numPr>
      </w:pPr>
      <w:r>
        <w:rPr>
          <w:rFonts w:ascii="Liberation Sans" w:hAnsi="Liberation Sans" w:eastAsia="Liberation Sans"/>
        </w:rPr>
        <w:t xml:space="preserve">preserve clinically material unresolved questions;</w:t>
      </w:r>
    </w:p>
    <w:p>
      <w:pPr>
        <w:pStyle w:val="Compact"/>
        <w:numPr>
          <w:ilvl w:val="0"/>
          <w:numId w:val="1003"/>
        </w:numPr>
      </w:pPr>
      <w:r>
        <w:rPr>
          <w:rFonts w:ascii="Liberation Sans" w:hAnsi="Liberation Sans" w:eastAsia="Liberation Sans"/>
        </w:rPr>
        <w:t xml:space="preserve">accurately attribute patient statements and clinician interpretations;</w:t>
      </w:r>
    </w:p>
    <w:p>
      <w:pPr>
        <w:pStyle w:val="Compact"/>
        <w:numPr>
          <w:ilvl w:val="0"/>
          <w:numId w:val="1003"/>
        </w:numPr>
      </w:pPr>
      <w:r>
        <w:rPr>
          <w:rFonts w:ascii="Liberation Sans" w:hAnsi="Liberation Sans" w:eastAsia="Liberation Sans"/>
        </w:rPr>
        <w:t xml:space="preserve">avoid suggesting that a relationship was tested when it was not;</w:t>
      </w:r>
    </w:p>
    <w:p>
      <w:pPr>
        <w:pStyle w:val="Compact"/>
        <w:numPr>
          <w:ilvl w:val="0"/>
          <w:numId w:val="1003"/>
        </w:numPr>
      </w:pPr>
      <w:r>
        <w:rPr>
          <w:rFonts w:ascii="Liberation Sans" w:hAnsi="Liberation Sans" w:eastAsia="Liberation Sans"/>
        </w:rPr>
        <w:t xml:space="preserve">communicate what follow-up is required and by whom; and</w:t>
      </w:r>
    </w:p>
    <w:p>
      <w:pPr>
        <w:pStyle w:val="Compact"/>
        <w:numPr>
          <w:ilvl w:val="0"/>
          <w:numId w:val="1003"/>
        </w:numPr>
      </w:pPr>
      <w:r>
        <w:rPr>
          <w:rFonts w:ascii="Liberation Sans" w:hAnsi="Liberation Sans" w:eastAsia="Liberation Sans"/>
        </w:rPr>
        <w:t xml:space="preserve">enable future clinicians to understand the degree of confidence attached to key propositions.</w:t>
      </w:r>
    </w:p>
    <w:p>
      <w:pPr>
        <w:pStyle w:val="FirstParagraph"/>
      </w:pPr>
      <w:r>
        <w:rPr>
          <w:rFonts w:ascii="Liberation Sans" w:hAnsi="Liberation Sans" w:eastAsia="Liberation Sans"/>
        </w:rPr>
        <w:t xml:space="preserve">Because later readers rely on this document without observing the original encounter, the summary’s author has a prospective duty of</w:t>
      </w:r>
      <w:r>
        <w:rPr>
          <w:rFonts w:ascii="Liberation Sans" w:hAnsi="Liberation Sans" w:eastAsia="Liberation Sans"/>
        </w:rPr>
        <w:t xml:space="preserve"> </w:t>
      </w:r>
      <w:r>
        <w:rPr>
          <w:rFonts w:ascii="Liberation Sans" w:hAnsi="Liberation Sans" w:eastAsia="Liberation Sans"/>
          <w:b/>
          <w:bCs/>
        </w:rPr>
        <w:t xml:space="preserve">epistemic fidelity</w:t>
      </w:r>
      <w:r>
        <w:rPr>
          <w:rFonts w:ascii="Liberation Sans" w:hAnsi="Liberation Sans" w:eastAsia="Liberation Sans"/>
        </w:rPr>
        <w:t xml:space="preserve">. This duty is stronger where the document is likely to become the authoritative entry point to years of subsequent care.</w:t>
      </w:r>
    </w:p>
    <w:bookmarkEnd w:id="60"/>
    <w:bookmarkStart w:id="61" w:name="presumptive-closure"/>
    <w:p>
      <w:pPr>
        <w:pStyle w:val="Heading2"/>
        <w:keepNext/>
      </w:pPr>
      <w:r>
        <w:rPr>
          <w:rFonts w:ascii="Liberation Sans" w:hAnsi="Liberation Sans" w:eastAsia="Liberation Sans"/>
        </w:rPr>
        <w:t xml:space="preserve">Presumptive closure</w:t>
      </w:r>
    </w:p>
    <w:p>
      <w:pPr>
        <w:pStyle w:val="FirstParagraph"/>
      </w:pPr>
      <w:r>
        <w:rPr>
          <w:rFonts w:ascii="Liberation Sans" w:hAnsi="Liberation Sans" w:eastAsia="Liberation Sans"/>
        </w:rPr>
        <w:t xml:space="preserve">Specialist records can create rational presumptions. A GP or later clinician ordinarily cannot reopen every possibility from first principles. They rely on the division of professional labour. This reliance is not itself bias; it is how complex health systems function. The ethical risk appears when the documentary signal of</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already considered</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is stronger than the underlying work justifies.</w:t>
      </w:r>
    </w:p>
    <w:p>
      <w:pPr>
        <w:pStyle w:val="BodyText"/>
        <w:widowControl/>
      </w:pPr>
      <w:r>
        <w:rPr>
          <w:rFonts w:ascii="Liberation Sans" w:hAnsi="Liberation Sans" w:eastAsia="Liberation Sans"/>
        </w:rPr>
        <w:t xml:space="preserve">A record can therefore transfer not only information but</w:t>
      </w:r>
      <w:r>
        <w:rPr>
          <w:rFonts w:ascii="Liberation Sans" w:hAnsi="Liberation Sans" w:eastAsia="Liberation Sans"/>
        </w:rPr>
        <w:t xml:space="preserve"> </w:t>
      </w:r>
      <w:r>
        <w:rPr>
          <w:rFonts w:ascii="Liberation Sans" w:hAnsi="Liberation Sans" w:eastAsia="Liberation Sans"/>
          <w:b/>
          <w:bCs/>
        </w:rPr>
        <w:t xml:space="preserve">burdens of reopening</w:t>
      </w:r>
      <w:r>
        <w:rPr>
          <w:rFonts w:ascii="Liberation Sans" w:hAnsi="Liberation Sans" w:eastAsia="Liberation Sans"/>
        </w:rPr>
        <w:t xml:space="preserve">. The more authoritative the document, the more evidence a later actor may feel is required to revisit its architecture.</w:t>
      </w:r>
    </w:p>
    <w:bookmarkEnd w:id="61"/>
    <w:bookmarkEnd w:id="62"/>
    <w:bookmarkStart w:id="66" w:name="part-v-constrained-corrigibility"/>
    <w:p>
      <w:pPr>
        <w:pStyle w:val="Heading1"/>
        <w:keepNext/>
      </w:pPr>
      <w:r>
        <w:rPr>
          <w:rFonts w:ascii="Liberation Sans" w:hAnsi="Liberation Sans" w:eastAsia="Liberation Sans"/>
        </w:rPr>
        <w:t xml:space="preserve">Part V — Constrained corrigibility</w:t>
      </w:r>
    </w:p>
    <w:p>
      <w:pPr>
        <w:pStyle w:val="FirstParagraph"/>
      </w:pPr>
      <w:r>
        <w:rPr>
          <w:rFonts w:ascii="Liberation Sans" w:hAnsi="Liberation Sans" w:eastAsia="Liberation Sans"/>
        </w:rPr>
        <w:t xml:space="preserve">The proposed distinction—</w:t>
      </w:r>
      <w:r>
        <w:rPr>
          <w:rFonts w:ascii="Liberation Sans" w:hAnsi="Liberation Sans" w:eastAsia="Liberation Sans"/>
          <w:b/>
          <w:bCs/>
        </w:rPr>
        <w:t xml:space="preserve">high local degrees of freedom, low global degrees of freedom</w:t>
      </w:r>
      <w:r>
        <w:rPr>
          <w:rFonts w:ascii="Liberation Sans" w:hAnsi="Liberation Sans" w:eastAsia="Liberation Sans"/>
        </w:rPr>
        <w:t xml:space="preserve">—is coherent and useful.</w:t>
      </w:r>
    </w:p>
    <w:p>
      <w:pPr>
        <w:pStyle w:val="BodyText"/>
        <w:widowControl/>
      </w:pPr>
      <w:r>
        <w:rPr>
          <w:rFonts w:ascii="Liberation Sans" w:hAnsi="Liberation Sans" w:eastAsia="Liberation Sans"/>
        </w:rPr>
        <w:t xml:space="preserve">A system can be visibly responsive while leaving the founding causal map intact. Symptoms can be relabelled, medications adjusted, new manifestations acknowledged, referrals changed, and even contradictions documented. Yet each adaptation can be made</w:t>
      </w:r>
      <w:r>
        <w:rPr>
          <w:rFonts w:ascii="Liberation Sans" w:hAnsi="Liberation Sans" w:eastAsia="Liberation Sans"/>
        </w:rPr>
        <w:t xml:space="preserve"> </w:t>
      </w:r>
      <w:r>
        <w:rPr>
          <w:rFonts w:ascii="Liberation Sans" w:hAnsi="Liberation Sans" w:eastAsia="Liberation Sans"/>
          <w:i/>
          <w:iCs/>
        </w:rPr>
        <w:t xml:space="preserve">inside</w:t>
      </w:r>
      <w:r>
        <w:rPr>
          <w:rFonts w:ascii="Liberation Sans" w:hAnsi="Liberation Sans" w:eastAsia="Liberation Sans"/>
        </w:rPr>
        <w:t xml:space="preserve"> </w:t>
      </w:r>
      <w:r>
        <w:rPr>
          <w:rFonts w:ascii="Liberation Sans" w:hAnsi="Liberation Sans" w:eastAsia="Liberation Sans"/>
        </w:rPr>
        <w:t xml:space="preserve">the inherited architecture. The system becomes corrigible at the level of local facts while remaining resistant to reconstruction at the level of causal organisation.</w:t>
      </w:r>
    </w:p>
    <w:bookmarkStart w:id="64" w:name="X6e1ff1b74aae8d0e887593ad8ca2b69766ae048"/>
    <w:p>
      <w:pPr>
        <w:pStyle w:val="Heading2"/>
        <w:keepNext/>
      </w:pPr>
      <w:r>
        <w:rPr>
          <w:rFonts w:ascii="Liberation Sans" w:hAnsi="Liberation Sans" w:eastAsia="Liberation Sans"/>
        </w:rPr>
        <w:t xml:space="preserve">Ordinary analogues and the conceptual extension</w:t>
      </w:r>
    </w:p>
    <w:p>
      <w:pPr>
        <w:pStyle w:val="FirstParagraph"/>
      </w:pPr>
      <w:r>
        <w:rPr>
          <w:rFonts w:ascii="Liberation Sans" w:hAnsi="Liberation Sans" w:eastAsia="Liberation Sans"/>
          <w:b/>
          <w:bCs/>
        </w:rPr>
        <w:t xml:space="preserve">Diagnostic momentum</w:t>
      </w:r>
      <w:r>
        <w:rPr>
          <w:rFonts w:ascii="Liberation Sans" w:hAnsi="Liberation Sans" w:eastAsia="Liberation Sans"/>
        </w:rPr>
        <w:t xml:space="preserve"> </w:t>
      </w:r>
      <w:r>
        <w:rPr>
          <w:rFonts w:ascii="Liberation Sans" w:hAnsi="Liberation Sans" w:eastAsia="Liberation Sans"/>
        </w:rPr>
        <w:t xml:space="preserve">describes the increasing acceptance of a diagnostic label as it passes from clinician to clinician.</w:t>
      </w:r>
      <w:r>
        <w:rPr>
          <w:rFonts w:ascii="Liberation Sans" w:hAnsi="Liberation Sans" w:eastAsia="Liberation Sans"/>
        </w:rPr>
        <w:t xml:space="preserve"> </w:t>
      </w:r>
      <w:r>
        <w:rPr>
          <w:rFonts w:ascii="Liberation Sans" w:hAnsi="Liberation Sans" w:eastAsia="Liberation Sans"/>
          <w:b/>
          <w:bCs/>
        </w:rPr>
        <w:t xml:space="preserve">Anchoring</w:t>
      </w:r>
      <w:r>
        <w:rPr>
          <w:rFonts w:ascii="Liberation Sans" w:hAnsi="Liberation Sans" w:eastAsia="Liberation Sans"/>
        </w:rPr>
        <w:t xml:space="preserve"> </w:t>
      </w:r>
      <w:r>
        <w:rPr>
          <w:rFonts w:ascii="Liberation Sans" w:hAnsi="Liberation Sans" w:eastAsia="Liberation Sans"/>
        </w:rPr>
        <w:t xml:space="preserve">describes inadequate adjustment from an initial hypothesis.</w:t>
      </w:r>
      <w:r>
        <w:rPr>
          <w:rFonts w:ascii="Liberation Sans" w:hAnsi="Liberation Sans" w:eastAsia="Liberation Sans"/>
        </w:rPr>
        <w:t xml:space="preserve"> </w:t>
      </w:r>
      <w:r>
        <w:rPr>
          <w:rFonts w:ascii="Liberation Sans" w:hAnsi="Liberation Sans" w:eastAsia="Liberation Sans"/>
          <w:b/>
          <w:bCs/>
        </w:rPr>
        <w:t xml:space="preserve">Belief perseverance</w:t>
      </w:r>
      <w:r>
        <w:rPr>
          <w:rFonts w:ascii="Liberation Sans" w:hAnsi="Liberation Sans" w:eastAsia="Liberation Sans"/>
        </w:rPr>
        <w:t xml:space="preserve"> </w:t>
      </w:r>
      <w:r>
        <w:rPr>
          <w:rFonts w:ascii="Liberation Sans" w:hAnsi="Liberation Sans" w:eastAsia="Liberation Sans"/>
        </w:rPr>
        <w:t xml:space="preserve">and</w:t>
      </w:r>
      <w:r>
        <w:rPr>
          <w:rFonts w:ascii="Liberation Sans" w:hAnsi="Liberation Sans" w:eastAsia="Liberation Sans"/>
        </w:rPr>
        <w:t xml:space="preserve"> </w:t>
      </w:r>
      <w:r>
        <w:rPr>
          <w:rFonts w:ascii="Liberation Sans" w:hAnsi="Liberation Sans" w:eastAsia="Liberation Sans"/>
          <w:b/>
          <w:bCs/>
        </w:rPr>
        <w:t xml:space="preserve">path dependence</w:t>
      </w:r>
      <w:r>
        <w:rPr>
          <w:rFonts w:ascii="Liberation Sans" w:hAnsi="Liberation Sans" w:eastAsia="Liberation Sans"/>
        </w:rPr>
        <w:t xml:space="preserve"> </w:t>
      </w:r>
      <w:r>
        <w:rPr>
          <w:rFonts w:ascii="Liberation Sans" w:hAnsi="Liberation Sans" w:eastAsia="Liberation Sans"/>
        </w:rPr>
        <w:t xml:space="preserve">describe persistence of earlier commitments.</w:t>
      </w:r>
      <w:r>
        <w:rPr>
          <w:rFonts w:ascii="Liberation Sans" w:hAnsi="Liberation Sans" w:eastAsia="Liberation Sans"/>
        </w:rPr>
        <w:t xml:space="preserve"> </w:t>
      </w:r>
      <w:r>
        <w:rPr>
          <w:rFonts w:ascii="Liberation Sans" w:hAnsi="Liberation Sans" w:eastAsia="Liberation Sans"/>
          <w:b/>
          <w:bCs/>
        </w:rPr>
        <w:t xml:space="preserve">Copy-forward</w:t>
      </w:r>
      <w:r>
        <w:rPr>
          <w:rFonts w:ascii="Liberation Sans" w:hAnsi="Liberation Sans" w:eastAsia="Liberation Sans"/>
        </w:rPr>
        <w:t xml:space="preserve"> </w:t>
      </w:r>
      <w:r>
        <w:rPr>
          <w:rFonts w:ascii="Liberation Sans" w:hAnsi="Liberation Sans" w:eastAsia="Liberation Sans"/>
        </w:rPr>
        <w:t xml:space="preserve">and</w:t>
      </w:r>
      <w:r>
        <w:rPr>
          <w:rFonts w:ascii="Liberation Sans" w:hAnsi="Liberation Sans" w:eastAsia="Liberation Sans"/>
        </w:rPr>
        <w:t xml:space="preserve"> </w:t>
      </w:r>
      <w:r>
        <w:rPr>
          <w:rFonts w:ascii="Liberation Sans" w:hAnsi="Liberation Sans" w:eastAsia="Liberation Sans"/>
          <w:b/>
          <w:bCs/>
        </w:rPr>
        <w:t xml:space="preserve">problem-list inertia</w:t>
      </w:r>
      <w:r>
        <w:rPr>
          <w:rFonts w:ascii="Liberation Sans" w:hAnsi="Liberation Sans" w:eastAsia="Liberation Sans"/>
        </w:rPr>
        <w:t xml:space="preserve"> </w:t>
      </w:r>
      <w:r>
        <w:rPr>
          <w:rFonts w:ascii="Liberation Sans" w:hAnsi="Liberation Sans" w:eastAsia="Liberation Sans"/>
        </w:rPr>
        <w:t xml:space="preserve">describe documentary persistence.</w:t>
      </w:r>
      <w:r>
        <w:rPr>
          <w:rFonts w:ascii="Liberation Sans" w:hAnsi="Liberation Sans" w:eastAsia="Liberation Sans"/>
        </w:rPr>
        <w:t xml:space="preserve"> </w:t>
      </w:r>
      <w:r>
        <w:rPr>
          <w:rFonts w:ascii="Liberation Sans" w:hAnsi="Liberation Sans" w:eastAsia="Liberation Sans"/>
          <w:b/>
          <w:bCs/>
        </w:rPr>
        <w:t xml:space="preserve">Epistemic injustice</w:t>
      </w:r>
      <w:r>
        <w:rPr>
          <w:rFonts w:ascii="Liberation Sans" w:hAnsi="Liberation Sans" w:eastAsia="Liberation Sans"/>
        </w:rPr>
        <w:t xml:space="preserve"> </w:t>
      </w:r>
      <w:r>
        <w:rPr>
          <w:rFonts w:ascii="Liberation Sans" w:hAnsi="Liberation Sans" w:eastAsia="Liberation Sans"/>
        </w:rPr>
        <w:t xml:space="preserve">describes credibility and interpretive disadvantage.</w:t>
      </w:r>
    </w:p>
    <w:p>
      <w:pPr>
        <w:pStyle w:val="BodyText"/>
        <w:widowControl/>
      </w:pPr>
      <w:r>
        <w:rPr>
          <w:rFonts w:ascii="Liberation Sans" w:hAnsi="Liberation Sans" w:eastAsia="Liberation Sans"/>
        </w:rPr>
        <w:t xml:space="preserve">Constrained corrigibility differs by focusing on the</w:t>
      </w:r>
      <w:r>
        <w:rPr>
          <w:rFonts w:ascii="Liberation Sans" w:hAnsi="Liberation Sans" w:eastAsia="Liberation Sans"/>
        </w:rPr>
        <w:t xml:space="preserve"> </w:t>
      </w:r>
      <w:r>
        <w:rPr>
          <w:rFonts w:ascii="Liberation Sans" w:hAnsi="Liberation Sans" w:eastAsia="Liberation Sans"/>
          <w:i/>
          <w:iCs/>
        </w:rPr>
        <w:t xml:space="preserve">distribution of permissible change</w:t>
      </w:r>
      <w:r>
        <w:rPr>
          <w:rFonts w:ascii="Liberation Sans" w:hAnsi="Liberation Sans" w:eastAsia="Liberation Sans"/>
        </w:rPr>
        <w:t xml:space="preserve">: the same system may have many ways to update local content while having few pathways to question the founding architecture. The closest organisational-learning analogue is the distinction between single-loop and double-loop learning. A systematic review of incident-reporting systems found some evidence of single-loop changes to processes but little evidence of double-loop changes to underlying mindsets or latent managerial conditions.</w:t>
      </w:r>
      <w:r>
        <w:rPr>
          <w:rStyle w:val="FootnoteReference"/>
          <w:rFonts w:ascii="Liberation Sans" w:hAnsi="Liberation Sans" w:eastAsia="Liberation Sans"/>
        </w:rPr>
        <w:footnoteReference w:id="63"/>
      </w:r>
    </w:p>
    <w:p>
      <w:pPr>
        <w:pStyle w:val="BodyText"/>
        <w:widowControl/>
      </w:pPr>
      <w:r>
        <w:rPr>
          <w:rFonts w:ascii="Liberation Sans" w:hAnsi="Liberation Sans" w:eastAsia="Liberation Sans"/>
        </w:rPr>
        <w:t xml:space="preserve">That makes</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constrained corrigibility</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a useful extension rather than a wholly unprecedented phenomenon. It imports a known learning distinction into longitudinal clinical information states and makes the unit of analysis the causal map itself.</w:t>
      </w:r>
    </w:p>
    <w:bookmarkEnd w:id="64"/>
    <w:bookmarkStart w:id="65" w:name="X79100721d6267703b76b404de37703d985c1ad6"/>
    <w:p>
      <w:pPr>
        <w:pStyle w:val="Heading2"/>
        <w:keepNext/>
      </w:pPr>
      <w:r>
        <w:rPr>
          <w:rFonts w:ascii="Liberation Sans" w:hAnsi="Liberation Sans" w:eastAsia="Liberation Sans"/>
        </w:rPr>
        <w:t xml:space="preserve">Practical test for constrained corrigibility</w:t>
      </w:r>
    </w:p>
    <w:p>
      <w:pPr>
        <w:pStyle w:val="FirstParagraph"/>
      </w:pPr>
      <w:r>
        <w:rPr>
          <w:rFonts w:ascii="Liberation Sans" w:hAnsi="Liberation Sans" w:eastAsia="Liberation Sans"/>
        </w:rPr>
        <w:t xml:space="preserve">A retrospective review should ask:</w:t>
      </w:r>
    </w:p>
    <w:p>
      <w:pPr>
        <w:pStyle w:val="Compact"/>
        <w:numPr>
          <w:ilvl w:val="0"/>
          <w:numId w:val="1004"/>
        </w:numPr>
      </w:pPr>
      <w:r>
        <w:rPr>
          <w:rFonts w:ascii="Liberation Sans" w:hAnsi="Liberation Sans" w:eastAsia="Liberation Sans"/>
        </w:rPr>
        <w:t xml:space="preserve">When later evidence crossed the original partition, was the</w:t>
      </w:r>
      <w:r>
        <w:rPr>
          <w:rFonts w:ascii="Liberation Sans" w:hAnsi="Liberation Sans" w:eastAsia="Liberation Sans"/>
        </w:rPr>
        <w:t xml:space="preserve"> </w:t>
      </w:r>
      <w:r>
        <w:rPr>
          <w:rFonts w:ascii="Liberation Sans" w:hAnsi="Liberation Sans" w:eastAsia="Liberation Sans"/>
          <w:i/>
          <w:iCs/>
        </w:rPr>
        <w:t xml:space="preserve">partition</w:t>
      </w:r>
      <w:r>
        <w:rPr>
          <w:rFonts w:ascii="Liberation Sans" w:hAnsi="Liberation Sans" w:eastAsia="Liberation Sans"/>
        </w:rPr>
        <w:t xml:space="preserve"> </w:t>
      </w:r>
      <w:r>
        <w:rPr>
          <w:rFonts w:ascii="Liberation Sans" w:hAnsi="Liberation Sans" w:eastAsia="Liberation Sans"/>
        </w:rPr>
        <w:t xml:space="preserve">explicitly reconsidered?</w:t>
      </w:r>
    </w:p>
    <w:p>
      <w:pPr>
        <w:pStyle w:val="Compact"/>
        <w:numPr>
          <w:ilvl w:val="0"/>
          <w:numId w:val="1004"/>
        </w:numPr>
      </w:pPr>
      <w:r>
        <w:rPr>
          <w:rFonts w:ascii="Liberation Sans" w:hAnsi="Liberation Sans" w:eastAsia="Liberation Sans"/>
        </w:rPr>
        <w:t xml:space="preserve">Were raw earlier observations re-read independently, or merely reinterpreted within the inherited labels?</w:t>
      </w:r>
    </w:p>
    <w:p>
      <w:pPr>
        <w:pStyle w:val="Compact"/>
        <w:numPr>
          <w:ilvl w:val="0"/>
          <w:numId w:val="1004"/>
        </w:numPr>
      </w:pPr>
      <w:r>
        <w:rPr>
          <w:rFonts w:ascii="Liberation Sans" w:hAnsi="Liberation Sans" w:eastAsia="Liberation Sans"/>
        </w:rPr>
        <w:t xml:space="preserve">Did any later clinician formulate a competing integrated model and compare it with the founding model?</w:t>
      </w:r>
    </w:p>
    <w:p>
      <w:pPr>
        <w:pStyle w:val="Compact"/>
        <w:numPr>
          <w:ilvl w:val="0"/>
          <w:numId w:val="1004"/>
        </w:numPr>
      </w:pPr>
      <w:r>
        <w:rPr>
          <w:rFonts w:ascii="Liberation Sans" w:hAnsi="Liberation Sans" w:eastAsia="Liberation Sans"/>
        </w:rPr>
        <w:t xml:space="preserve">Were copied or derivative statements distinguished from independently generated evidence?</w:t>
      </w:r>
    </w:p>
    <w:p>
      <w:pPr>
        <w:pStyle w:val="Compact"/>
        <w:numPr>
          <w:ilvl w:val="0"/>
          <w:numId w:val="1004"/>
        </w:numPr>
      </w:pPr>
      <w:r>
        <w:rPr>
          <w:rFonts w:ascii="Liberation Sans" w:hAnsi="Liberation Sans" w:eastAsia="Liberation Sans"/>
        </w:rPr>
        <w:t xml:space="preserve">Did new treatment response trigger causal-map review, or only symptom-level adaptation?</w:t>
      </w:r>
    </w:p>
    <w:p>
      <w:pPr>
        <w:pStyle w:val="Compact"/>
        <w:numPr>
          <w:ilvl w:val="0"/>
          <w:numId w:val="1004"/>
        </w:numPr>
      </w:pPr>
      <w:r>
        <w:rPr>
          <w:rFonts w:ascii="Liberation Sans" w:hAnsi="Liberation Sans" w:eastAsia="Liberation Sans"/>
        </w:rPr>
        <w:t xml:space="preserve">Were the patient’s earlier concerns restored to the timeline once later evidence made them newly salient?</w:t>
      </w:r>
    </w:p>
    <w:p>
      <w:pPr>
        <w:pStyle w:val="FirstParagraph"/>
      </w:pPr>
      <w:r>
        <w:rPr>
          <w:rFonts w:ascii="Liberation Sans" w:hAnsi="Liberation Sans" w:eastAsia="Liberation Sans"/>
        </w:rPr>
        <w:t xml:space="preserve">If the answer is repeatedly</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local adjustment without map reconstruction,</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constrained corrigibility becomes empirically testable rather than rhetorical.</w:t>
      </w:r>
    </w:p>
    <w:bookmarkEnd w:id="65"/>
    <w:bookmarkEnd w:id="66"/>
    <w:bookmarkStart w:id="69" w:name="Xc1ad5433bfcd7ea78805bbea9c6a2e980b06d3e"/>
    <w:p>
      <w:pPr>
        <w:pStyle w:val="Heading1"/>
        <w:keepNext/>
      </w:pPr>
      <w:r>
        <w:rPr>
          <w:rFonts w:ascii="Liberation Sans" w:hAnsi="Liberation Sans" w:eastAsia="Liberation Sans"/>
        </w:rPr>
        <w:t xml:space="preserve">Part VI — Recursive institutional validation</w:t>
      </w:r>
    </w:p>
    <w:p>
      <w:pPr>
        <w:pStyle w:val="FirstParagraph"/>
      </w:pPr>
      <w:r>
        <w:rPr>
          <w:rFonts w:ascii="Liberation Sans" w:hAnsi="Liberation Sans" w:eastAsia="Liberation Sans"/>
        </w:rPr>
        <w:t xml:space="preserve">The proposed recursive sequence is:</w:t>
      </w:r>
    </w:p>
    <w:p>
      <w:pPr>
        <w:pStyle w:val="BlockText"/>
      </w:pPr>
      <w:r>
        <w:rPr>
          <w:rFonts w:ascii="Liberation Sans" w:hAnsi="Liberation Sans" w:eastAsia="Liberation Sans"/>
          <w:b/>
          <w:bCs/>
        </w:rPr>
        <w:t xml:space="preserve">founding record creates categories → later care occurs within those categories → later documentation records that care → accumulated documentation is later invoked as evidence that the founding categories were sound.</w:t>
      </w:r>
    </w:p>
    <w:p>
      <w:pPr>
        <w:pStyle w:val="FirstParagraph"/>
      </w:pPr>
      <w:r>
        <w:rPr>
          <w:rFonts w:ascii="Liberation Sans" w:hAnsi="Liberation Sans" w:eastAsia="Liberation Sans"/>
        </w:rPr>
        <w:t xml:space="preserve">This can be legitimate longitudinal confirmation when downstream evidence is sufficiently independent and discriminating. It becomes</w:t>
      </w:r>
      <w:r>
        <w:rPr>
          <w:rFonts w:ascii="Liberation Sans" w:hAnsi="Liberation Sans" w:eastAsia="Liberation Sans"/>
        </w:rPr>
        <w:t xml:space="preserve"> </w:t>
      </w:r>
      <w:r>
        <w:rPr>
          <w:rFonts w:ascii="Liberation Sans" w:hAnsi="Liberation Sans" w:eastAsia="Liberation Sans"/>
          <w:b/>
          <w:bCs/>
        </w:rPr>
        <w:t xml:space="preserve">endogenous validation</w:t>
      </w:r>
      <w:r>
        <w:rPr>
          <w:rFonts w:ascii="Liberation Sans" w:hAnsi="Liberation Sans" w:eastAsia="Liberation Sans"/>
        </w:rPr>
        <w:t xml:space="preserve"> </w:t>
      </w:r>
      <w:r>
        <w:rPr>
          <w:rFonts w:ascii="Liberation Sans" w:hAnsi="Liberation Sans" w:eastAsia="Liberation Sans"/>
        </w:rPr>
        <w:t xml:space="preserve">where the founding model materially shaped the observations, terminology, referral pathways, investigations or treatment choices that later appear to corroborate it.</w:t>
      </w:r>
    </w:p>
    <w:bookmarkStart w:id="67" w:name="independence-is-a-property-not-a-date"/>
    <w:p>
      <w:pPr>
        <w:pStyle w:val="Heading2"/>
        <w:keepNext/>
      </w:pPr>
      <w:r>
        <w:rPr>
          <w:rFonts w:ascii="Liberation Sans" w:hAnsi="Liberation Sans" w:eastAsia="Liberation Sans"/>
        </w:rPr>
        <w:t xml:space="preserve">Independence is a property, not a date</w:t>
      </w:r>
    </w:p>
    <w:p>
      <w:pPr>
        <w:pStyle w:val="FirstParagraph"/>
      </w:pPr>
      <w:r>
        <w:rPr>
          <w:rFonts w:ascii="Liberation Sans" w:hAnsi="Liberation Sans" w:eastAsia="Liberation Sans"/>
        </w:rPr>
        <w:t xml:space="preserve">Evidence does not become independent merely because it was recorded years later. A later note that copies, assumes or operationalises an earlier label may be derivative. Conversely, a later examination can be genuinely independent if the clinician re-evaluates primary phenomena without relying on the challenged classification.</w:t>
      </w:r>
    </w:p>
    <w:p>
      <w:pPr>
        <w:pStyle w:val="BodyText"/>
        <w:widowControl/>
      </w:pPr>
      <w:r>
        <w:rPr>
          <w:rFonts w:ascii="Liberation Sans" w:hAnsi="Liberation Sans" w:eastAsia="Liberation Sans"/>
        </w:rPr>
        <w:t xml:space="preserve">The repository should therefore classify each item as:</w:t>
      </w:r>
    </w:p>
    <w:p>
      <w:pPr>
        <w:pStyle w:val="Compact"/>
        <w:numPr>
          <w:ilvl w:val="0"/>
          <w:numId w:val="1005"/>
        </w:numPr>
      </w:pPr>
      <w:r>
        <w:rPr>
          <w:rFonts w:ascii="Liberation Sans" w:hAnsi="Liberation Sans" w:eastAsia="Liberation Sans"/>
          <w:b/>
          <w:bCs/>
        </w:rPr>
        <w:t xml:space="preserve">independent</w:t>
      </w:r>
      <w:r>
        <w:rPr>
          <w:rFonts w:ascii="Liberation Sans" w:hAnsi="Liberation Sans" w:eastAsia="Liberation Sans"/>
        </w:rPr>
        <w:t xml:space="preserve"> </w:t>
      </w:r>
      <w:r>
        <w:rPr>
          <w:rFonts w:ascii="Liberation Sans" w:hAnsi="Liberation Sans" w:eastAsia="Liberation Sans"/>
        </w:rPr>
        <w:t xml:space="preserve">— generated without material dependence on the challenged founding proposition;</w:t>
      </w:r>
    </w:p>
    <w:p>
      <w:pPr>
        <w:pStyle w:val="Compact"/>
        <w:numPr>
          <w:ilvl w:val="0"/>
          <w:numId w:val="1005"/>
        </w:numPr>
      </w:pPr>
      <w:r>
        <w:rPr>
          <w:rFonts w:ascii="Liberation Sans" w:hAnsi="Liberation Sans" w:eastAsia="Liberation Sans"/>
          <w:b/>
          <w:bCs/>
        </w:rPr>
        <w:t xml:space="preserve">partially inherited</w:t>
      </w:r>
      <w:r>
        <w:rPr>
          <w:rFonts w:ascii="Liberation Sans" w:hAnsi="Liberation Sans" w:eastAsia="Liberation Sans"/>
        </w:rPr>
        <w:t xml:space="preserve"> </w:t>
      </w:r>
      <w:r>
        <w:rPr>
          <w:rFonts w:ascii="Liberation Sans" w:hAnsi="Liberation Sans" w:eastAsia="Liberation Sans"/>
        </w:rPr>
        <w:t xml:space="preserve">— contains new observation but interpretation is shaped by inherited categories;</w:t>
      </w:r>
    </w:p>
    <w:p>
      <w:pPr>
        <w:pStyle w:val="Compact"/>
        <w:numPr>
          <w:ilvl w:val="0"/>
          <w:numId w:val="1005"/>
        </w:numPr>
      </w:pPr>
      <w:r>
        <w:rPr>
          <w:rFonts w:ascii="Liberation Sans" w:hAnsi="Liberation Sans" w:eastAsia="Liberation Sans"/>
          <w:b/>
          <w:bCs/>
        </w:rPr>
        <w:t xml:space="preserve">derivative</w:t>
      </w:r>
      <w:r>
        <w:rPr>
          <w:rFonts w:ascii="Liberation Sans" w:hAnsi="Liberation Sans" w:eastAsia="Liberation Sans"/>
        </w:rPr>
        <w:t xml:space="preserve"> </w:t>
      </w:r>
      <w:r>
        <w:rPr>
          <w:rFonts w:ascii="Liberation Sans" w:hAnsi="Liberation Sans" w:eastAsia="Liberation Sans"/>
        </w:rPr>
        <w:t xml:space="preserve">— mainly restates or operationalises earlier documentation;</w:t>
      </w:r>
    </w:p>
    <w:p>
      <w:pPr>
        <w:pStyle w:val="Compact"/>
        <w:numPr>
          <w:ilvl w:val="0"/>
          <w:numId w:val="1005"/>
        </w:numPr>
      </w:pPr>
      <w:r>
        <w:rPr>
          <w:rFonts w:ascii="Liberation Sans" w:hAnsi="Liberation Sans" w:eastAsia="Liberation Sans"/>
          <w:b/>
          <w:bCs/>
        </w:rPr>
        <w:t xml:space="preserve">unknown</w:t>
      </w:r>
      <w:r>
        <w:rPr>
          <w:rFonts w:ascii="Liberation Sans" w:hAnsi="Liberation Sans" w:eastAsia="Liberation Sans"/>
        </w:rPr>
        <w:t xml:space="preserve"> </w:t>
      </w:r>
      <w:r>
        <w:rPr>
          <w:rFonts w:ascii="Liberation Sans" w:hAnsi="Liberation Sans" w:eastAsia="Liberation Sans"/>
        </w:rPr>
        <w:t xml:space="preserve">— provenance or cognitive dependence cannot yet be determined.</w:t>
      </w:r>
    </w:p>
    <w:bookmarkEnd w:id="67"/>
    <w:bookmarkStart w:id="68" w:name="X294359b211948b4782d49b1dbb48d5086fea512"/>
    <w:p>
      <w:pPr>
        <w:pStyle w:val="Heading2"/>
        <w:keepNext/>
      </w:pPr>
      <w:r>
        <w:rPr>
          <w:rFonts w:ascii="Liberation Sans" w:hAnsi="Liberation Sans" w:eastAsia="Liberation Sans"/>
        </w:rPr>
        <w:t xml:space="preserve">A competent retrospective review protocol</w:t>
      </w:r>
    </w:p>
    <w:p>
      <w:pPr>
        <w:pStyle w:val="FirstParagraph"/>
      </w:pPr>
      <w:r>
        <w:rPr>
          <w:rFonts w:ascii="Liberation Sans" w:hAnsi="Liberation Sans" w:eastAsia="Liberation Sans"/>
        </w:rPr>
        <w:t xml:space="preserve">To avoid validating an information architecture with its own descendants, a review should:</w:t>
      </w:r>
    </w:p>
    <w:p>
      <w:pPr>
        <w:pStyle w:val="Compact"/>
        <w:numPr>
          <w:ilvl w:val="0"/>
          <w:numId w:val="1006"/>
        </w:numPr>
      </w:pPr>
      <w:r>
        <w:rPr>
          <w:rFonts w:ascii="Liberation Sans" w:hAnsi="Liberation Sans" w:eastAsia="Liberation Sans"/>
        </w:rPr>
        <w:t xml:space="preserve">preserve and authenticate the original source corpus;</w:t>
      </w:r>
    </w:p>
    <w:p>
      <w:pPr>
        <w:pStyle w:val="Compact"/>
        <w:numPr>
          <w:ilvl w:val="0"/>
          <w:numId w:val="1006"/>
        </w:numPr>
      </w:pPr>
      <w:r>
        <w:rPr>
          <w:rFonts w:ascii="Liberation Sans" w:hAnsi="Liberation Sans" w:eastAsia="Liberation Sans"/>
        </w:rPr>
        <w:t xml:space="preserve">reconstruct authorship, timestamps, drafts, amendments, audit logs and the first appearance of key phrases;</w:t>
      </w:r>
    </w:p>
    <w:p>
      <w:pPr>
        <w:pStyle w:val="Compact"/>
        <w:numPr>
          <w:ilvl w:val="0"/>
          <w:numId w:val="1006"/>
        </w:numPr>
      </w:pPr>
      <w:r>
        <w:rPr>
          <w:rFonts w:ascii="Liberation Sans" w:hAnsi="Liberation Sans" w:eastAsia="Liberation Sans"/>
        </w:rPr>
        <w:t xml:space="preserve">separate raw observations from interpretive labels;</w:t>
      </w:r>
    </w:p>
    <w:p>
      <w:pPr>
        <w:pStyle w:val="Compact"/>
        <w:numPr>
          <w:ilvl w:val="0"/>
          <w:numId w:val="1006"/>
        </w:numPr>
      </w:pPr>
      <w:r>
        <w:rPr>
          <w:rFonts w:ascii="Liberation Sans" w:hAnsi="Liberation Sans" w:eastAsia="Liberation Sans"/>
        </w:rPr>
        <w:t xml:space="preserve">identify all downstream copying, paraphrase and unexamined inheritance;</w:t>
      </w:r>
    </w:p>
    <w:p>
      <w:pPr>
        <w:pStyle w:val="Compact"/>
        <w:numPr>
          <w:ilvl w:val="0"/>
          <w:numId w:val="1006"/>
        </w:numPr>
      </w:pPr>
      <w:r>
        <w:rPr>
          <w:rFonts w:ascii="Liberation Sans" w:hAnsi="Liberation Sans" w:eastAsia="Liberation Sans"/>
        </w:rPr>
        <w:t xml:space="preserve">obtain an independent movement-disorder expert view of what was clinically reasonable in 2017, using contemporaneous knowledge and without assuming the 2026 genotype was knowable;</w:t>
      </w:r>
    </w:p>
    <w:p>
      <w:pPr>
        <w:pStyle w:val="Compact"/>
        <w:numPr>
          <w:ilvl w:val="0"/>
          <w:numId w:val="1006"/>
        </w:numPr>
      </w:pPr>
      <w:r>
        <w:rPr>
          <w:rFonts w:ascii="Liberation Sans" w:hAnsi="Liberation Sans" w:eastAsia="Liberation Sans"/>
        </w:rPr>
        <w:t xml:space="preserve">ask a counterfactual question:</w:t>
      </w:r>
      <w:r>
        <w:rPr>
          <w:rFonts w:ascii="Liberation Sans" w:hAnsi="Liberation Sans" w:eastAsia="Liberation Sans"/>
        </w:rPr>
        <w:t xml:space="preserve"> </w:t>
      </w:r>
      <w:r>
        <w:rPr>
          <w:rFonts w:ascii="Liberation Sans" w:hAnsi="Liberation Sans" w:eastAsia="Liberation Sans"/>
          <w:b/>
          <w:bCs/>
        </w:rPr>
        <w:t xml:space="preserve">what evidence for the founding partition remains if the founding summary and its documentary descendants are withheld?</w:t>
      </w:r>
      <w:r>
        <w:rPr>
          <w:rFonts w:ascii="Liberation Sans" w:hAnsi="Liberation Sans" w:eastAsia="Liberation Sans"/>
        </w:rPr>
        <w:t xml:space="preserve">;</w:t>
      </w:r>
    </w:p>
    <w:p>
      <w:pPr>
        <w:pStyle w:val="Compact"/>
        <w:numPr>
          <w:ilvl w:val="0"/>
          <w:numId w:val="1006"/>
        </w:numPr>
      </w:pPr>
      <w:r>
        <w:rPr>
          <w:rFonts w:ascii="Liberation Sans" w:hAnsi="Liberation Sans" w:eastAsia="Liberation Sans"/>
        </w:rPr>
        <w:t xml:space="preserve">examine whether later clinicians ever globally reconstructed the feet–dystonia relationship rather than locally modifying symptoms;</w:t>
      </w:r>
    </w:p>
    <w:p>
      <w:pPr>
        <w:pStyle w:val="Compact"/>
        <w:numPr>
          <w:ilvl w:val="0"/>
          <w:numId w:val="1006"/>
        </w:numPr>
      </w:pPr>
      <w:r>
        <w:rPr>
          <w:rFonts w:ascii="Liberation Sans" w:hAnsi="Liberation Sans" w:eastAsia="Liberation Sans"/>
        </w:rPr>
        <w:t xml:space="preserve">test alternative innocent explanations for every disputed semantic move; and</w:t>
      </w:r>
    </w:p>
    <w:p>
      <w:pPr>
        <w:pStyle w:val="Compact"/>
        <w:numPr>
          <w:ilvl w:val="0"/>
          <w:numId w:val="1006"/>
        </w:numPr>
      </w:pPr>
      <w:r>
        <w:rPr>
          <w:rFonts w:ascii="Liberation Sans" w:hAnsi="Liberation Sans" w:eastAsia="Liberation Sans"/>
        </w:rPr>
        <w:t xml:space="preserve">record evidence that weakens the mechanism with the same discipline as evidence that strengthens it.</w:t>
      </w:r>
    </w:p>
    <w:p>
      <w:pPr>
        <w:pStyle w:val="FirstParagraph"/>
      </w:pPr>
      <w:r>
        <w:rPr>
          <w:rFonts w:ascii="Liberation Sans" w:hAnsi="Liberation Sans" w:eastAsia="Liberation Sans"/>
        </w:rPr>
        <w:t xml:space="preserve">This is the practical difference between a review that is robust under independent testing and one that merely finds the inherited record internally coherent.</w:t>
      </w:r>
    </w:p>
    <w:bookmarkEnd w:id="68"/>
    <w:bookmarkEnd w:id="69"/>
    <w:bookmarkStart w:id="105" w:name="part-vii-irish-institutional-map"/>
    <w:p>
      <w:pPr>
        <w:pStyle w:val="Heading1"/>
        <w:keepNext/>
      </w:pPr>
      <w:r>
        <w:rPr>
          <w:rFonts w:ascii="Liberation Sans" w:hAnsi="Liberation Sans" w:eastAsia="Liberation Sans"/>
        </w:rPr>
        <w:t xml:space="preserve">Part VII — Irish institutional map</w:t>
      </w:r>
    </w:p>
    <w:bookmarkStart w:id="71" w:name="routing-principle"/>
    <w:p>
      <w:pPr>
        <w:pStyle w:val="Heading2"/>
        <w:keepNext/>
      </w:pPr>
      <w:r>
        <w:rPr>
          <w:rFonts w:ascii="Liberation Sans" w:hAnsi="Liberation Sans" w:eastAsia="Liberation Sans"/>
        </w:rPr>
        <w:t xml:space="preserve">Routing principle</w:t>
      </w:r>
    </w:p>
    <w:p>
      <w:pPr>
        <w:pStyle w:val="FirstParagraph"/>
      </w:pPr>
      <w:r>
        <w:rPr>
          <w:rFonts w:ascii="Liberation Sans" w:hAnsi="Liberation Sans" w:eastAsia="Liberation Sans"/>
        </w:rPr>
        <w:t xml:space="preserve">Ireland does not have one body with jurisdiction over the entire alleged mechanism. The mechanism must be decomposed by</w:t>
      </w:r>
      <w:r>
        <w:rPr>
          <w:rFonts w:ascii="Liberation Sans" w:hAnsi="Liberation Sans" w:eastAsia="Liberation Sans"/>
        </w:rPr>
        <w:t xml:space="preserve"> </w:t>
      </w:r>
      <w:r>
        <w:rPr>
          <w:rFonts w:ascii="Liberation Sans" w:hAnsi="Liberation Sans" w:eastAsia="Liberation Sans"/>
          <w:b/>
          <w:bCs/>
        </w:rPr>
        <w:t xml:space="preserve">mandate</w:t>
      </w:r>
      <w:r>
        <w:rPr>
          <w:rFonts w:ascii="Liberation Sans" w:hAnsi="Liberation Sans" w:eastAsia="Liberation Sans"/>
        </w:rPr>
        <w:t xml:space="preserve">, while remaining conceptually one allegation. The same evidence can legitimately be presented differently to a provider, regulator, ombudsman or data-protection authority because each is being asked a different question.</w:t>
      </w:r>
    </w:p>
    <w:p>
      <w:pPr>
        <w:pStyle w:val="BodyText"/>
        <w:widowControl/>
      </w:pPr>
      <w:r>
        <w:rPr>
          <w:rFonts w:ascii="Liberation Sans" w:hAnsi="Liberation Sans" w:eastAsia="Liberation Sans"/>
        </w:rPr>
        <w:t xml:space="preserve">The HSE now operates through six Health Regions, each responsible for hospital and community care in its area, with its own leadership and local decision-making; the HSE remains a single organisation and the HSE Centre retains national standard-setting responsibility.</w:t>
      </w:r>
      <w:r>
        <w:rPr>
          <w:rStyle w:val="FootnoteReference"/>
          <w:rFonts w:ascii="Liberation Sans" w:hAnsi="Liberation Sans" w:eastAsia="Liberation Sans"/>
        </w:rPr>
        <w:footnoteReference w:id="70"/>
      </w:r>
      <w:r>
        <w:rPr>
          <w:rFonts w:ascii="Liberation Sans" w:hAnsi="Liberation Sans" w:eastAsia="Liberation Sans"/>
        </w:rPr>
        <w:t xml:space="preserve"> </w:t>
      </w:r>
      <w:r>
        <w:rPr>
          <w:rFonts w:ascii="Liberation Sans" w:hAnsi="Liberation Sans" w:eastAsia="Liberation Sans"/>
        </w:rPr>
        <w:t xml:space="preserve">The relevant route is therefore the actual hospital/service and its present Health Region, not an assumed legacy Hospital Group.</w:t>
      </w:r>
    </w:p>
    <w:bookmarkEnd w:id="71"/>
    <w:bookmarkStart w:id="73" w:name="X2b03c64212657953d6d323e0cdce89cfa0b4661"/>
    <w:p>
      <w:pPr>
        <w:pStyle w:val="Heading2"/>
        <w:keepNext/>
      </w:pPr>
      <w:r>
        <w:rPr>
          <w:rFonts w:ascii="Liberation Sans" w:hAnsi="Liberation Sans" w:eastAsia="Liberation Sans"/>
        </w:rPr>
        <w:t xml:space="preserve">A. Relevant hospital/service and HSE Health Region —</w:t>
      </w:r>
      <w:r>
        <w:rPr>
          <w:rFonts w:ascii="Liberation Sans" w:hAnsi="Liberation Sans" w:eastAsia="Liberation Sans"/>
        </w:rPr>
        <w:t xml:space="preserve"> </w:t>
      </w:r>
      <w:r>
        <w:rPr>
          <w:rFonts w:ascii="Liberation Sans" w:hAnsi="Liberation Sans" w:eastAsia="Liberation Sans"/>
          <w:b/>
          <w:bCs/>
        </w:rPr>
        <w:t xml:space="preserve">High priority</w:t>
      </w:r>
    </w:p>
    <w:p>
      <w:pPr>
        <w:pStyle w:val="FirstParagraph"/>
      </w:pPr>
      <w:r>
        <w:rPr>
          <w:rFonts w:ascii="Liberation Sans" w:hAnsi="Liberation Sans" w:eastAsia="Liberation Sans"/>
          <w:b/>
          <w:bCs/>
        </w:rPr>
        <w:t xml:space="preserve">Mandate.</w:t>
      </w:r>
      <w:r>
        <w:rPr>
          <w:rFonts w:ascii="Liberation Sans" w:hAnsi="Liberation Sans" w:eastAsia="Liberation Sans"/>
        </w:rPr>
        <w:t xml:space="preserve"> </w:t>
      </w:r>
      <w:r>
        <w:rPr>
          <w:rFonts w:ascii="Liberation Sans" w:hAnsi="Liberation Sans" w:eastAsia="Liberation Sans"/>
        </w:rPr>
        <w:t xml:space="preserve">The treating provider has the most direct capacity to reconstruct its own record, interview staff where feasible, access local systems, audit trails and policies, examine complaint handling, and implement corrective clinical or governance action. Regional structures have responsibility for delivery and accountability across hospital and community services.</w:t>
      </w:r>
      <w:r>
        <w:rPr>
          <w:rStyle w:val="FootnoteReference"/>
          <w:rFonts w:ascii="Liberation Sans" w:hAnsi="Liberation Sans" w:eastAsia="Liberation Sans"/>
        </w:rPr>
        <w:footnoteReference w:id="72"/>
      </w:r>
    </w:p>
    <w:p>
      <w:pPr>
        <w:pStyle w:val="BodyText"/>
        <w:widowControl/>
      </w:pPr>
      <w:r>
        <w:rPr>
          <w:rFonts w:ascii="Liberation Sans" w:hAnsi="Liberation Sans" w:eastAsia="Liberation Sans"/>
          <w:b/>
          <w:bCs/>
        </w:rPr>
        <w:t xml:space="preserve">Individual case?</w:t>
      </w:r>
      <w:r>
        <w:rPr>
          <w:rFonts w:ascii="Liberation Sans" w:hAnsi="Liberation Sans" w:eastAsia="Liberation Sans"/>
        </w:rPr>
        <w:t xml:space="preserve"> </w:t>
      </w:r>
      <w:r>
        <w:rPr>
          <w:rFonts w:ascii="Liberation Sans" w:hAnsi="Liberation Sans" w:eastAsia="Liberation Sans"/>
        </w:rPr>
        <w:t xml:space="preserve">Yes, through the provider’s complaints, clinical-governance, records, risk and incident processes.</w:t>
      </w:r>
    </w:p>
    <w:p>
      <w:pPr>
        <w:pStyle w:val="BodyText"/>
        <w:widowControl/>
      </w:pPr>
      <w:r>
        <w:rPr>
          <w:rFonts w:ascii="Liberation Sans" w:hAnsi="Liberation Sans" w:eastAsia="Liberation Sans"/>
          <w:b/>
          <w:bCs/>
        </w:rPr>
        <w:t xml:space="preserve">System investigation?</w:t>
      </w:r>
      <w:r>
        <w:rPr>
          <w:rFonts w:ascii="Liberation Sans" w:hAnsi="Liberation Sans" w:eastAsia="Liberation Sans"/>
        </w:rPr>
        <w:t xml:space="preserve"> </w:t>
      </w:r>
      <w:r>
        <w:rPr>
          <w:rFonts w:ascii="Liberation Sans" w:hAnsi="Liberation Sans" w:eastAsia="Liberation Sans"/>
        </w:rPr>
        <w:t xml:space="preserve">Yes, within the service/region, particularly through QPS, clinical audit and incident-management structures.</w:t>
      </w:r>
    </w:p>
    <w:p>
      <w:pPr>
        <w:pStyle w:val="BodyText"/>
        <w:widowControl/>
      </w:pPr>
      <w:r>
        <w:rPr>
          <w:rFonts w:ascii="Liberation Sans" w:hAnsi="Liberation Sans" w:eastAsia="Liberation Sans"/>
          <w:b/>
          <w:bCs/>
        </w:rPr>
        <w:t xml:space="preserve">Consequences.</w:t>
      </w:r>
      <w:r>
        <w:rPr>
          <w:rFonts w:ascii="Liberation Sans" w:hAnsi="Liberation Sans" w:eastAsia="Liberation Sans"/>
        </w:rPr>
        <w:t xml:space="preserve"> </w:t>
      </w:r>
      <w:r>
        <w:rPr>
          <w:rFonts w:ascii="Liberation Sans" w:hAnsi="Liberation Sans" w:eastAsia="Liberation Sans"/>
        </w:rPr>
        <w:t xml:space="preserve">Provider-level actions can include explanation, record supplementation/correction where appropriate, renewed clinical review, governance findings, learning actions, policy changes and staff performance processes. The exact powers depend on the employing/service structure and applicable procedure.</w:t>
      </w:r>
    </w:p>
    <w:p>
      <w:pPr>
        <w:pStyle w:val="BodyText"/>
        <w:widowControl/>
      </w:pPr>
      <w:r>
        <w:rPr>
          <w:rFonts w:ascii="Liberation Sans" w:hAnsi="Liberation Sans" w:eastAsia="Liberation Sans"/>
          <w:b/>
          <w:bCs/>
        </w:rPr>
        <w:t xml:space="preserve">What falls within remit.</w:t>
      </w:r>
      <w:r>
        <w:rPr>
          <w:rFonts w:ascii="Liberation Sans" w:hAnsi="Liberation Sans" w:eastAsia="Liberation Sans"/>
        </w:rPr>
        <w:t xml:space="preserve"> </w:t>
      </w:r>
      <w:r>
        <w:rPr>
          <w:rFonts w:ascii="Liberation Sans" w:hAnsi="Liberation Sans" w:eastAsia="Liberation Sans"/>
        </w:rPr>
        <w:t xml:space="preserve">The chronology of the admission; authorship and completion of the discharge synthesis; whether the patient’s pre-discharge challenge was received and handled; record provenance; whether the relational question was investigated; whether subsequent care inherited the formulation; whether a contemporary independent review is required; and whether an incident/learning process is indicated.</w:t>
      </w:r>
    </w:p>
    <w:p>
      <w:pPr>
        <w:pStyle w:val="BodyText"/>
        <w:widowControl/>
      </w:pPr>
      <w:r>
        <w:rPr>
          <w:rFonts w:ascii="Liberation Sans" w:hAnsi="Liberation Sans" w:eastAsia="Liberation Sans"/>
          <w:b/>
          <w:bCs/>
        </w:rPr>
        <w:t xml:space="preserve">What does not automatically follow.</w:t>
      </w:r>
      <w:r>
        <w:rPr>
          <w:rFonts w:ascii="Liberation Sans" w:hAnsi="Liberation Sans" w:eastAsia="Liberation Sans"/>
        </w:rPr>
        <w:t xml:space="preserve"> </w:t>
      </w:r>
      <w:r>
        <w:rPr>
          <w:rFonts w:ascii="Liberation Sans" w:hAnsi="Liberation Sans" w:eastAsia="Liberation Sans"/>
        </w:rPr>
        <w:t xml:space="preserve">A provider review should not presume deliberate manipulation, professional misconduct, negligence or legal liability merely from the proposed architecture.</w:t>
      </w:r>
    </w:p>
    <w:p>
      <w:pPr>
        <w:pStyle w:val="BodyText"/>
        <w:widowControl/>
      </w:pPr>
      <w:r>
        <w:rPr>
          <w:rFonts w:ascii="Liberation Sans" w:hAnsi="Liberation Sans" w:eastAsia="Liberation Sans"/>
          <w:b/>
          <w:bCs/>
        </w:rPr>
        <w:t xml:space="preserve">Engagement threshold.</w:t>
      </w:r>
      <w:r>
        <w:rPr>
          <w:rFonts w:ascii="Liberation Sans" w:hAnsi="Liberation Sans" w:eastAsia="Liberation Sans"/>
        </w:rPr>
        <w:t xml:space="preserve"> </w:t>
      </w:r>
      <w:r>
        <w:rPr>
          <w:rFonts w:ascii="Liberation Sans" w:hAnsi="Liberation Sans" w:eastAsia="Liberation Sans"/>
        </w:rPr>
        <w:t xml:space="preserve">Obtain the core source corpus first: referral, admission notes, ward notes, specialist examinations, podiatry/orthopaedic material, discharge drafts/final letter, correspondence, subsequent records that bear on the disputed relationship, and any available metadata/audit trail. The alleged Protest should be supported by the best available contemporaneous or near-contemporaneous evidence.</w:t>
      </w:r>
    </w:p>
    <w:p>
      <w:pPr>
        <w:pStyle w:val="BodyText"/>
        <w:widowControl/>
      </w:pPr>
      <w:r>
        <w:rPr>
          <w:rFonts w:ascii="Liberation Sans" w:hAnsi="Liberation Sans" w:eastAsia="Liberation Sans"/>
          <w:b/>
          <w:bCs/>
        </w:rPr>
        <w:t xml:space="preserve">Best form.</w:t>
      </w:r>
      <w:r>
        <w:rPr>
          <w:rFonts w:ascii="Liberation Sans" w:hAnsi="Liberation Sans" w:eastAsia="Liberation Sans"/>
        </w:rPr>
        <w:t xml:space="preserve"> </w:t>
      </w:r>
      <w:r>
        <w:rPr>
          <w:rFonts w:ascii="Liberation Sans" w:hAnsi="Liberation Sans" w:eastAsia="Liberation Sans"/>
        </w:rPr>
        <w:t xml:space="preserve">A structured</w:t>
      </w:r>
      <w:r>
        <w:rPr>
          <w:rFonts w:ascii="Liberation Sans" w:hAnsi="Liberation Sans" w:eastAsia="Liberation Sans"/>
        </w:rPr>
        <w:t xml:space="preserve"> </w:t>
      </w:r>
      <w:r>
        <w:rPr>
          <w:rFonts w:ascii="Liberation Sans" w:hAnsi="Liberation Sans" w:eastAsia="Liberation Sans"/>
          <w:b/>
          <w:bCs/>
        </w:rPr>
        <w:t xml:space="preserve">request for independent clinical-governance and information-provenance review</w:t>
      </w:r>
      <w:r>
        <w:rPr>
          <w:rFonts w:ascii="Liberation Sans" w:hAnsi="Liberation Sans" w:eastAsia="Liberation Sans"/>
        </w:rPr>
        <w:t xml:space="preserve">, with a proposition ledger and an explicit request that reviewers classify downstream evidence by independence rather than relying on chart volume.</w:t>
      </w:r>
    </w:p>
    <w:bookmarkEnd w:id="73"/>
    <w:bookmarkStart w:id="76" w:name="X78a3a66404e6ac0fde4db4c51415907f7af1df4"/>
    <w:p>
      <w:pPr>
        <w:pStyle w:val="Heading2"/>
        <w:keepNext/>
      </w:pPr>
      <w:r>
        <w:rPr>
          <w:rFonts w:ascii="Liberation Sans" w:hAnsi="Liberation Sans" w:eastAsia="Liberation Sans"/>
        </w:rPr>
        <w:t xml:space="preserve">B. HSE National Quality and Patient Safety / QPS Incident Management —</w:t>
      </w:r>
      <w:r>
        <w:rPr>
          <w:rFonts w:ascii="Liberation Sans" w:hAnsi="Liberation Sans" w:eastAsia="Liberation Sans"/>
        </w:rPr>
        <w:t xml:space="preserve"> </w:t>
      </w:r>
      <w:r>
        <w:rPr>
          <w:rFonts w:ascii="Liberation Sans" w:hAnsi="Liberation Sans" w:eastAsia="Liberation Sans"/>
          <w:b/>
          <w:bCs/>
        </w:rPr>
        <w:t xml:space="preserve">High for systemic learning once evidenced</w:t>
      </w:r>
    </w:p>
    <w:p>
      <w:pPr>
        <w:pStyle w:val="FirstParagraph"/>
      </w:pPr>
      <w:r>
        <w:rPr>
          <w:rFonts w:ascii="Liberation Sans" w:hAnsi="Liberation Sans" w:eastAsia="Liberation Sans"/>
        </w:rPr>
        <w:t xml:space="preserve">HSE National QPS states that its functions include clinical audit, improvement and education; incident management, open disclosure and NIMS; QPS intelligence; and patient-safety learning.</w:t>
      </w:r>
      <w:r>
        <w:rPr>
          <w:rStyle w:val="FootnoteReference"/>
          <w:rFonts w:ascii="Liberation Sans" w:hAnsi="Liberation Sans" w:eastAsia="Liberation Sans"/>
        </w:rPr>
        <w:footnoteReference w:id="74"/>
      </w:r>
      <w:r>
        <w:rPr>
          <w:rFonts w:ascii="Liberation Sans" w:hAnsi="Liberation Sans" w:eastAsia="Liberation Sans"/>
        </w:rPr>
        <w:t xml:space="preserve"> </w:t>
      </w:r>
      <w:r>
        <w:rPr>
          <w:rFonts w:ascii="Liberation Sans" w:hAnsi="Liberation Sans" w:eastAsia="Liberation Sans"/>
        </w:rPr>
        <w:t xml:space="preserve">QPS Incident Management develops frameworks and processes to identify, report, manage and learn from safety incidents and to share learning across the system.</w:t>
      </w:r>
      <w:r>
        <w:rPr>
          <w:rStyle w:val="FootnoteReference"/>
          <w:rFonts w:ascii="Liberation Sans" w:hAnsi="Liberation Sans" w:eastAsia="Liberation Sans"/>
        </w:rPr>
        <w:footnoteReference w:id="75"/>
      </w:r>
    </w:p>
    <w:p>
      <w:pPr>
        <w:pStyle w:val="BodyText"/>
        <w:widowControl/>
      </w:pPr>
      <w:r>
        <w:rPr>
          <w:rFonts w:ascii="Liberation Sans" w:hAnsi="Liberation Sans" w:eastAsia="Liberation Sans"/>
        </w:rPr>
        <w:t xml:space="preserve">The current Incident Management Framework is a natural methodological home for questions about independent healthcare-record review, system analysis, incident learning and the difference between local correction and system learning. It is not an alternative fitness-to-practise tribunal.</w:t>
      </w:r>
    </w:p>
    <w:p>
      <w:pPr>
        <w:pStyle w:val="BodyText"/>
        <w:widowControl/>
      </w:pPr>
      <w:r>
        <w:rPr>
          <w:rFonts w:ascii="Liberation Sans" w:hAnsi="Liberation Sans" w:eastAsia="Liberation Sans"/>
          <w:b/>
          <w:bCs/>
        </w:rPr>
        <w:t xml:space="preserve">Best ask.</w:t>
      </w:r>
      <w:r>
        <w:rPr>
          <w:rFonts w:ascii="Liberation Sans" w:hAnsi="Liberation Sans" w:eastAsia="Liberation Sans"/>
        </w:rPr>
        <w:t xml:space="preserve"> </w:t>
      </w:r>
      <w:r>
        <w:rPr>
          <w:rFonts w:ascii="Liberation Sans" w:hAnsi="Liberation Sans" w:eastAsia="Liberation Sans"/>
        </w:rPr>
        <w:t xml:space="preserve">Not</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decide that the 2017 clinician was unethical.</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Instead:</w:t>
      </w:r>
      <w:r>
        <w:rPr>
          <w:rFonts w:ascii="Liberation Sans" w:hAnsi="Liberation Sans" w:eastAsia="Liberation Sans"/>
        </w:rPr>
        <w:t xml:space="preserve"> </w:t>
      </w:r>
      <w:r>
        <w:rPr>
          <w:rFonts w:ascii="Liberation Sans" w:hAnsi="Liberation Sans" w:eastAsia="Liberation Sans"/>
          <w:b/>
          <w:bCs/>
        </w:rPr>
        <w:t xml:space="preserve">test whether this is a patient-safety mechanism in which an inherited information state constrained later recognition and whether present incident-review methods adequately detect documentary descendants and non-independent longitudinal evidence.</w:t>
      </w:r>
    </w:p>
    <w:bookmarkEnd w:id="76"/>
    <w:bookmarkStart w:id="79" w:name="X62ce27687dca57afcd81565f038d003bc1ed78d"/>
    <w:p>
      <w:pPr>
        <w:pStyle w:val="Heading2"/>
        <w:keepNext/>
      </w:pPr>
      <w:r>
        <w:rPr>
          <w:rFonts w:ascii="Liberation Sans" w:hAnsi="Liberation Sans" w:eastAsia="Liberation Sans"/>
        </w:rPr>
        <w:t xml:space="preserve">C. HSE Open Disclosure structures —</w:t>
      </w:r>
      <w:r>
        <w:rPr>
          <w:rFonts w:ascii="Liberation Sans" w:hAnsi="Liberation Sans" w:eastAsia="Liberation Sans"/>
        </w:rPr>
        <w:t xml:space="preserve"> </w:t>
      </w:r>
      <w:r>
        <w:rPr>
          <w:rFonts w:ascii="Liberation Sans" w:hAnsi="Liberation Sans" w:eastAsia="Liberation Sans"/>
          <w:b/>
          <w:bCs/>
        </w:rPr>
        <w:t xml:space="preserve">Medium–High if the matter is accepted as a patient-safety incident or review finding</w:t>
      </w:r>
    </w:p>
    <w:p>
      <w:pPr>
        <w:pStyle w:val="FirstParagraph"/>
      </w:pPr>
      <w:r>
        <w:rPr>
          <w:rFonts w:ascii="Liberation Sans" w:hAnsi="Liberation Sans" w:eastAsia="Liberation Sans"/>
        </w:rPr>
        <w:t xml:space="preserve">The HSE’s 2025 Open Disclosure Policy is designed around open, honest, timely and transparent communication following patient-safety or notifiable incidents, with organisational responsibility for governance and assurance.</w:t>
      </w:r>
      <w:r>
        <w:rPr>
          <w:rStyle w:val="FootnoteReference"/>
          <w:rFonts w:ascii="Liberation Sans" w:hAnsi="Liberation Sans" w:eastAsia="Liberation Sans"/>
        </w:rPr>
        <w:footnoteReference w:id="77"/>
      </w:r>
      <w:r>
        <w:rPr>
          <w:rFonts w:ascii="Liberation Sans" w:hAnsi="Liberation Sans" w:eastAsia="Liberation Sans"/>
        </w:rPr>
        <w:t xml:space="preserve"> </w:t>
      </w:r>
      <w:r>
        <w:rPr>
          <w:rFonts w:ascii="Liberation Sans" w:hAnsi="Liberation Sans" w:eastAsia="Liberation Sans"/>
        </w:rPr>
        <w:t xml:space="preserve">The Patient Safety (Notifiable Incidents and Open Disclosure) Act 2023 commenced on 26 September 2024 and creates mandatory disclosure duties for specified notifiable incidents; broader open disclosure also operates outside the statutory notifiable list.</w:t>
      </w:r>
      <w:r>
        <w:rPr>
          <w:rStyle w:val="FootnoteReference"/>
          <w:rFonts w:ascii="Liberation Sans" w:hAnsi="Liberation Sans" w:eastAsia="Liberation Sans"/>
        </w:rPr>
        <w:footnoteReference w:id="78"/>
      </w:r>
    </w:p>
    <w:p>
      <w:pPr>
        <w:pStyle w:val="BodyText"/>
        <w:widowControl/>
      </w:pPr>
      <w:r>
        <w:rPr>
          <w:rFonts w:ascii="Liberation Sans" w:hAnsi="Liberation Sans" w:eastAsia="Liberation Sans"/>
        </w:rPr>
        <w:t xml:space="preserve">This current framework should be used carefully. It may govern how a present-day review communicates newly identified patient-safety findings; it is not evidence that a 2017 event was a statutory notifiable incident under a law that did not yet operate.</w:t>
      </w:r>
    </w:p>
    <w:bookmarkEnd w:id="79"/>
    <w:bookmarkStart w:id="84" w:name="X80accefa8e46ec198649358c3a814d4f75c2314"/>
    <w:p>
      <w:pPr>
        <w:pStyle w:val="Heading2"/>
        <w:keepNext/>
      </w:pPr>
      <w:r>
        <w:rPr>
          <w:rFonts w:ascii="Liberation Sans" w:hAnsi="Liberation Sans" w:eastAsia="Liberation Sans"/>
        </w:rPr>
        <w:t xml:space="preserve">D. Medical Council of Ireland —</w:t>
      </w:r>
      <w:r>
        <w:rPr>
          <w:rFonts w:ascii="Liberation Sans" w:hAnsi="Liberation Sans" w:eastAsia="Liberation Sans"/>
        </w:rPr>
        <w:t xml:space="preserve"> </w:t>
      </w:r>
      <w:r>
        <w:rPr>
          <w:rFonts w:ascii="Liberation Sans" w:hAnsi="Liberation Sans" w:eastAsia="Liberation Sans"/>
          <w:b/>
          <w:bCs/>
        </w:rPr>
        <w:t xml:space="preserve">High if serious doctor-specific evidence survives the historic-case threshold</w:t>
      </w:r>
    </w:p>
    <w:p>
      <w:pPr>
        <w:pStyle w:val="FirstParagraph"/>
      </w:pPr>
      <w:r>
        <w:rPr>
          <w:rFonts w:ascii="Liberation Sans" w:hAnsi="Liberation Sans" w:eastAsia="Liberation Sans"/>
        </w:rPr>
        <w:t xml:space="preserve">The Medical Council’s role is to safeguard the public by maintaining standards of professional conduct, performance and skills and by considering complaints about individual registered doctors.</w:t>
      </w:r>
      <w:r>
        <w:rPr>
          <w:rStyle w:val="FootnoteReference"/>
          <w:rFonts w:ascii="Liberation Sans" w:hAnsi="Liberation Sans" w:eastAsia="Liberation Sans"/>
        </w:rPr>
        <w:footnoteReference w:id="80"/>
      </w:r>
      <w:r>
        <w:rPr>
          <w:rFonts w:ascii="Liberation Sans" w:hAnsi="Liberation Sans" w:eastAsia="Liberation Sans"/>
        </w:rPr>
        <w:t xml:space="preserve"> </w:t>
      </w:r>
      <w:r>
        <w:rPr>
          <w:rFonts w:ascii="Liberation Sans" w:hAnsi="Liberation Sans" w:eastAsia="Liberation Sans"/>
        </w:rPr>
        <w:t xml:space="preserve">It can investigate serious concerns and, where statutory grounds are made out, impose or facilitate registration consequences. Its published examples include serious failure to examine a patient properly, misdiagnosis, fraud/dishonesty and clinical incompetence. It also expressly notes that historic incidents may be closed where investigation is no longer practicable because of the passage of time.</w:t>
      </w:r>
      <w:r>
        <w:rPr>
          <w:rStyle w:val="FootnoteReference"/>
          <w:rFonts w:ascii="Liberation Sans" w:hAnsi="Liberation Sans" w:eastAsia="Liberation Sans"/>
        </w:rPr>
        <w:footnoteReference w:id="81"/>
      </w:r>
    </w:p>
    <w:p>
      <w:pPr>
        <w:pStyle w:val="BodyText"/>
        <w:widowControl/>
      </w:pPr>
      <w:r>
        <w:rPr>
          <w:rFonts w:ascii="Liberation Sans" w:hAnsi="Liberation Sans" w:eastAsia="Liberation Sans"/>
        </w:rPr>
        <w:t xml:space="preserve">For complaints made on or after 6 May 2025, the amended process begins with a complaint to the CEO; in most cases an Authorised Officer investigates and may request records, interview people and consult experts before Preliminary Proceedings Committee review.</w:t>
      </w:r>
      <w:r>
        <w:rPr>
          <w:rStyle w:val="FootnoteReference"/>
          <w:rFonts w:ascii="Liberation Sans" w:hAnsi="Liberation Sans" w:eastAsia="Liberation Sans"/>
        </w:rPr>
        <w:footnoteReference w:id="82"/>
      </w:r>
    </w:p>
    <w:p>
      <w:pPr>
        <w:pStyle w:val="BodyText"/>
        <w:widowControl/>
      </w:pPr>
      <w:r>
        <w:rPr>
          <w:rFonts w:ascii="Liberation Sans" w:hAnsi="Liberation Sans" w:eastAsia="Liberation Sans"/>
          <w:b/>
          <w:bCs/>
        </w:rPr>
        <w:t xml:space="preserve">What the Council can examine here.</w:t>
      </w:r>
      <w:r>
        <w:rPr>
          <w:rFonts w:ascii="Liberation Sans" w:hAnsi="Liberation Sans" w:eastAsia="Liberation Sans"/>
        </w:rPr>
        <w:t xml:space="preserve"> </w:t>
      </w:r>
      <w:r>
        <w:rPr>
          <w:rFonts w:ascii="Liberation Sans" w:hAnsi="Liberation Sans" w:eastAsia="Liberation Sans"/>
        </w:rPr>
        <w:t xml:space="preserve">Doctor-specific professional conduct/performance: record accuracy, attribution, seriousness of any failure to examine or preserve a material unresolved issue, and—only if evidence supports it—dishonesty or other misconduct.</w:t>
      </w:r>
    </w:p>
    <w:p>
      <w:pPr>
        <w:pStyle w:val="BodyText"/>
        <w:widowControl/>
      </w:pPr>
      <w:r>
        <w:rPr>
          <w:rFonts w:ascii="Liberation Sans" w:hAnsi="Liberation Sans" w:eastAsia="Liberation Sans"/>
          <w:b/>
          <w:bCs/>
        </w:rPr>
        <w:t xml:space="preserve">What it cannot do.</w:t>
      </w:r>
      <w:r>
        <w:rPr>
          <w:rFonts w:ascii="Liberation Sans" w:hAnsi="Liberation Sans" w:eastAsia="Liberation Sans"/>
        </w:rPr>
        <w:t xml:space="preserve"> </w:t>
      </w:r>
      <w:r>
        <w:rPr>
          <w:rFonts w:ascii="Liberation Sans" w:hAnsi="Liberation Sans" w:eastAsia="Liberation Sans"/>
        </w:rPr>
        <w:t xml:space="preserve">The Council states that it cannot award compensation, require an apology, provide treatment, order access to records, or order a doctor to change medical records.</w:t>
      </w:r>
      <w:r>
        <w:rPr>
          <w:rStyle w:val="FootnoteReference"/>
          <w:rFonts w:ascii="Liberation Sans" w:hAnsi="Liberation Sans" w:eastAsia="Liberation Sans"/>
        </w:rPr>
        <w:footnoteReference w:id="83"/>
      </w:r>
    </w:p>
    <w:p>
      <w:pPr>
        <w:pStyle w:val="BodyText"/>
        <w:widowControl/>
      </w:pPr>
      <w:r>
        <w:rPr>
          <w:rFonts w:ascii="Liberation Sans" w:hAnsi="Liberation Sans" w:eastAsia="Liberation Sans"/>
          <w:b/>
          <w:bCs/>
        </w:rPr>
        <w:t xml:space="preserve">Threshold.</w:t>
      </w:r>
      <w:r>
        <w:rPr>
          <w:rFonts w:ascii="Liberation Sans" w:hAnsi="Liberation Sans" w:eastAsia="Liberation Sans"/>
        </w:rPr>
        <w:t xml:space="preserve"> </w:t>
      </w:r>
      <w:r>
        <w:rPr>
          <w:rFonts w:ascii="Liberation Sans" w:hAnsi="Liberation Sans" w:eastAsia="Liberation Sans"/>
        </w:rPr>
        <w:t xml:space="preserve">A regulator-facing submission should be much narrower than the ethics dossier. It should contain authenticated primary records, a precise chronology, clearly separated allegations, evidence of authorship/responsibility, and an independent expert opinion on the 2017 clinical standard where clinical adequacy is central. Because the incident is historic, the submission should explain why investigation remains practicable and what evidence is still available.</w:t>
      </w:r>
    </w:p>
    <w:bookmarkEnd w:id="84"/>
    <w:bookmarkStart w:id="88" w:name="Xce4d8fb4610b3bb8766de05843ab624dce8fcc3"/>
    <w:p>
      <w:pPr>
        <w:pStyle w:val="Heading2"/>
        <w:keepNext/>
      </w:pPr>
      <w:r>
        <w:rPr>
          <w:rFonts w:ascii="Liberation Sans" w:hAnsi="Liberation Sans" w:eastAsia="Liberation Sans"/>
        </w:rPr>
        <w:t xml:space="preserve">E. HIQA —</w:t>
      </w:r>
      <w:r>
        <w:rPr>
          <w:rFonts w:ascii="Liberation Sans" w:hAnsi="Liberation Sans" w:eastAsia="Liberation Sans"/>
        </w:rPr>
        <w:t xml:space="preserve"> </w:t>
      </w:r>
      <w:r>
        <w:rPr>
          <w:rFonts w:ascii="Liberation Sans" w:hAnsi="Liberation Sans" w:eastAsia="Liberation Sans"/>
          <w:b/>
          <w:bCs/>
        </w:rPr>
        <w:t xml:space="preserve">Medium for service-level safety intelligence; low for individual adjudication</w:t>
      </w:r>
    </w:p>
    <w:p>
      <w:pPr>
        <w:pStyle w:val="FirstParagraph"/>
      </w:pPr>
      <w:r>
        <w:rPr>
          <w:rFonts w:ascii="Liberation Sans" w:hAnsi="Liberation Sans" w:eastAsia="Liberation Sans"/>
        </w:rPr>
        <w:t xml:space="preserve">HIQA invites concerns about health and social care services but expressly states that it does not have legal power to investigate individual complaints. It reviews information and concerns against regulations and standards; serious risk can prompt action, and HIQA can undertake or be directed by the Minister to undertake healthcare safety/quality investigations.</w:t>
      </w:r>
      <w:r>
        <w:rPr>
          <w:rStyle w:val="FootnoteReference"/>
          <w:rFonts w:ascii="Liberation Sans" w:hAnsi="Liberation Sans" w:eastAsia="Liberation Sans"/>
        </w:rPr>
        <w:footnoteReference w:id="85"/>
      </w:r>
    </w:p>
    <w:p>
      <w:pPr>
        <w:pStyle w:val="BodyText"/>
        <w:widowControl/>
      </w:pPr>
      <w:r>
        <w:rPr>
          <w:rFonts w:ascii="Liberation Sans" w:hAnsi="Liberation Sans" w:eastAsia="Liberation Sans"/>
        </w:rPr>
        <w:t xml:space="preserve">HIQA’s 2024 National Standards for Information Management in Health and Social Care are highly relevant prospectively: HIQA describes high-quality information as foundational to safe, high-quality care and emphasises information governance and accurate, relevant, timely information.</w:t>
      </w:r>
      <w:r>
        <w:rPr>
          <w:rStyle w:val="FootnoteReference"/>
          <w:rFonts w:ascii="Liberation Sans" w:hAnsi="Liberation Sans" w:eastAsia="Liberation Sans"/>
        </w:rPr>
        <w:footnoteReference w:id="86"/>
      </w:r>
      <w:r>
        <w:rPr>
          <w:rFonts w:ascii="Liberation Sans" w:hAnsi="Liberation Sans" w:eastAsia="Liberation Sans"/>
        </w:rPr>
        <w:t xml:space="preserve"> </w:t>
      </w:r>
      <w:r>
        <w:rPr>
          <w:rFonts w:ascii="Liberation Sans" w:hAnsi="Liberation Sans" w:eastAsia="Liberation Sans"/>
        </w:rPr>
        <w:t xml:space="preserve">A 2025 consultation draft for a National Standard for Hospital Discharge Information similarly treated discharge data as essential to continuity of care.</w:t>
      </w:r>
      <w:r>
        <w:rPr>
          <w:rStyle w:val="FootnoteReference"/>
          <w:rFonts w:ascii="Liberation Sans" w:hAnsi="Liberation Sans" w:eastAsia="Liberation Sans"/>
        </w:rPr>
        <w:footnoteReference w:id="87"/>
      </w:r>
      <w:r>
        <w:rPr>
          <w:rFonts w:ascii="Liberation Sans" w:hAnsi="Liberation Sans" w:eastAsia="Liberation Sans"/>
        </w:rPr>
        <w:t xml:space="preserve"> </w:t>
      </w:r>
      <w:r>
        <w:rPr>
          <w:rFonts w:ascii="Liberation Sans" w:hAnsi="Liberation Sans" w:eastAsia="Liberation Sans"/>
        </w:rPr>
        <w:t xml:space="preserve">Unless superseded by a final standard, that 2025 document should be described as a draft, not binding current law.</w:t>
      </w:r>
    </w:p>
    <w:p>
      <w:pPr>
        <w:pStyle w:val="BodyText"/>
        <w:widowControl/>
      </w:pPr>
      <w:r>
        <w:rPr>
          <w:rFonts w:ascii="Liberation Sans" w:hAnsi="Liberation Sans" w:eastAsia="Liberation Sans"/>
          <w:b/>
          <w:bCs/>
        </w:rPr>
        <w:t xml:space="preserve">Best ask.</w:t>
      </w:r>
      <w:r>
        <w:rPr>
          <w:rFonts w:ascii="Liberation Sans" w:hAnsi="Liberation Sans" w:eastAsia="Liberation Sans"/>
        </w:rPr>
        <w:t xml:space="preserve"> </w:t>
      </w:r>
      <w:r>
        <w:rPr>
          <w:rFonts w:ascii="Liberation Sans" w:hAnsi="Liberation Sans" w:eastAsia="Liberation Sans"/>
        </w:rPr>
        <w:t xml:space="preserve">A de-identified or carefully scoped system-safety communication explaining a potential information-management failure mode and why existing standards might need implementation guidance, assurance methods or thematic attention. Do not ask HIQA to decide whether one neurologist’s diagnosis was negligent.</w:t>
      </w:r>
    </w:p>
    <w:bookmarkEnd w:id="88"/>
    <w:bookmarkStart w:id="91" w:name="Xffb3a89c0c9dfb663e0b2718fa12a6e2dbbe0b4"/>
    <w:p>
      <w:pPr>
        <w:pStyle w:val="Heading2"/>
        <w:keepNext/>
      </w:pPr>
      <w:r>
        <w:rPr>
          <w:rFonts w:ascii="Liberation Sans" w:hAnsi="Liberation Sans" w:eastAsia="Liberation Sans"/>
        </w:rPr>
        <w:t xml:space="preserve">F. Office of the Ombudsman —</w:t>
      </w:r>
      <w:r>
        <w:rPr>
          <w:rFonts w:ascii="Liberation Sans" w:hAnsi="Liberation Sans" w:eastAsia="Liberation Sans"/>
        </w:rPr>
        <w:t xml:space="preserve"> </w:t>
      </w:r>
      <w:r>
        <w:rPr>
          <w:rFonts w:ascii="Liberation Sans" w:hAnsi="Liberation Sans" w:eastAsia="Liberation Sans"/>
          <w:b/>
          <w:bCs/>
        </w:rPr>
        <w:t xml:space="preserve">Medium, confined to administration and complaint handling</w:t>
      </w:r>
    </w:p>
    <w:p>
      <w:pPr>
        <w:pStyle w:val="FirstParagraph"/>
      </w:pPr>
      <w:r>
        <w:rPr>
          <w:rFonts w:ascii="Liberation Sans" w:hAnsi="Liberation Sans" w:eastAsia="Liberation Sans"/>
        </w:rPr>
        <w:t xml:space="preserve">The Ombudsman can examine unfair decisions, failure to give reasons, delay, wrong information and deficient complaint handling, but cannot examine clinical judgments such as diagnosis or treatment by or on behalf of the HSE.</w:t>
      </w:r>
      <w:r>
        <w:rPr>
          <w:rStyle w:val="FootnoteReference"/>
          <w:rFonts w:ascii="Liberation Sans" w:hAnsi="Liberation Sans" w:eastAsia="Liberation Sans"/>
        </w:rPr>
        <w:footnoteReference w:id="89"/>
      </w:r>
      <w:r>
        <w:rPr>
          <w:rFonts w:ascii="Liberation Sans" w:hAnsi="Liberation Sans" w:eastAsia="Liberation Sans"/>
        </w:rPr>
        <w:t xml:space="preserve"> </w:t>
      </w:r>
      <w:r>
        <w:rPr>
          <w:rFonts w:ascii="Liberation Sans" w:hAnsi="Liberation Sans" w:eastAsia="Liberation Sans"/>
        </w:rPr>
        <w:t xml:space="preserve">The Office has nevertheless distinguished clinical judgment from administrative actions by healthcare staff that can be examined where they do not themselves involve clinical judgment.</w:t>
      </w:r>
      <w:r>
        <w:rPr>
          <w:rStyle w:val="FootnoteReference"/>
          <w:rFonts w:ascii="Liberation Sans" w:hAnsi="Liberation Sans" w:eastAsia="Liberation Sans"/>
        </w:rPr>
        <w:footnoteReference w:id="90"/>
      </w:r>
    </w:p>
    <w:p>
      <w:pPr>
        <w:pStyle w:val="BodyText"/>
        <w:widowControl/>
      </w:pPr>
      <w:r>
        <w:rPr>
          <w:rFonts w:ascii="Liberation Sans" w:hAnsi="Liberation Sans" w:eastAsia="Liberation Sans"/>
          <w:b/>
          <w:bCs/>
        </w:rPr>
        <w:t xml:space="preserve">Potentially within remit.</w:t>
      </w:r>
      <w:r>
        <w:rPr>
          <w:rFonts w:ascii="Liberation Sans" w:hAnsi="Liberation Sans" w:eastAsia="Liberation Sans"/>
        </w:rPr>
        <w:t xml:space="preserve"> </w:t>
      </w:r>
      <w:r>
        <w:rPr>
          <w:rFonts w:ascii="Liberation Sans" w:hAnsi="Liberation Sans" w:eastAsia="Liberation Sans"/>
        </w:rPr>
        <w:t xml:space="preserve">How a public body handled the complaint; whether it relied on wrong or incomplete administrative information; whether it failed to address a distinct records/process issue; whether reasons were adequate; and whether its review process was procedurally fair.</w:t>
      </w:r>
    </w:p>
    <w:p>
      <w:pPr>
        <w:pStyle w:val="BodyText"/>
        <w:widowControl/>
      </w:pPr>
      <w:r>
        <w:rPr>
          <w:rFonts w:ascii="Liberation Sans" w:hAnsi="Liberation Sans" w:eastAsia="Liberation Sans"/>
          <w:b/>
          <w:bCs/>
        </w:rPr>
        <w:t xml:space="preserve">Outside remit.</w:t>
      </w:r>
      <w:r>
        <w:rPr>
          <w:rFonts w:ascii="Liberation Sans" w:hAnsi="Liberation Sans" w:eastAsia="Liberation Sans"/>
        </w:rPr>
        <w:t xml:space="preserve"> </w:t>
      </w:r>
      <w:r>
        <w:rPr>
          <w:rFonts w:ascii="Liberation Sans" w:hAnsi="Liberation Sans" w:eastAsia="Liberation Sans"/>
        </w:rPr>
        <w:t xml:space="preserve">Asking the Ombudsman to decide that neuropathy was clinically implausible, dystonia caused the pain, or the 2017 diagnosis was wrong.</w:t>
      </w:r>
    </w:p>
    <w:bookmarkEnd w:id="91"/>
    <w:bookmarkStart w:id="94" w:name="Xfb00fe1e78966a6a0b84a9d87bd4f6e844fc60c"/>
    <w:p>
      <w:pPr>
        <w:pStyle w:val="Heading2"/>
        <w:keepNext/>
      </w:pPr>
      <w:r>
        <w:rPr>
          <w:rFonts w:ascii="Liberation Sans" w:hAnsi="Liberation Sans" w:eastAsia="Liberation Sans"/>
        </w:rPr>
        <w:t xml:space="preserve">G. Data Protection Commission —</w:t>
      </w:r>
      <w:r>
        <w:rPr>
          <w:rFonts w:ascii="Liberation Sans" w:hAnsi="Liberation Sans" w:eastAsia="Liberation Sans"/>
        </w:rPr>
        <w:t xml:space="preserve"> </w:t>
      </w:r>
      <w:r>
        <w:rPr>
          <w:rFonts w:ascii="Liberation Sans" w:hAnsi="Liberation Sans" w:eastAsia="Liberation Sans"/>
          <w:b/>
          <w:bCs/>
        </w:rPr>
        <w:t xml:space="preserve">Medium–High for a precise record-completeness or factual-accuracy issue; otherwise low</w:t>
      </w:r>
    </w:p>
    <w:p>
      <w:pPr>
        <w:pStyle w:val="FirstParagraph"/>
      </w:pPr>
      <w:r>
        <w:rPr>
          <w:rFonts w:ascii="Liberation Sans" w:hAnsi="Liberation Sans" w:eastAsia="Liberation Sans"/>
        </w:rPr>
        <w:t xml:space="preserve">The DPC’s medical-record guidance is unusually important here because it draws the exact jurisdictional line. A later change in diagnosis does not automatically make the earlier clinical opinion</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inaccurate</w:t>
      </w:r>
      <w:r>
        <w:rPr>
          <w:rFonts w:ascii="Liberation Sans" w:hAnsi="Liberation Sans" w:eastAsia="Liberation Sans"/>
        </w:rPr>
        <w:t xml:space="preserve">”</w:t>
      </w:r>
      <w:r>
        <w:rPr>
          <w:rFonts w:ascii="Liberation Sans" w:hAnsi="Liberation Sans" w:eastAsia="Liberation Sans"/>
        </w:rPr>
        <w:t xml:space="preserve">; the DPC states that it will not decide whether a diagnosis was correct. But Article 16 can support completion of incomplete data, including by a supplementary statement, depending on the processing context.</w:t>
      </w:r>
      <w:r>
        <w:rPr>
          <w:rStyle w:val="FootnoteReference"/>
          <w:rFonts w:ascii="Liberation Sans" w:hAnsi="Liberation Sans" w:eastAsia="Liberation Sans"/>
        </w:rPr>
        <w:footnoteReference w:id="92"/>
      </w:r>
    </w:p>
    <w:p>
      <w:pPr>
        <w:pStyle w:val="BodyText"/>
        <w:widowControl/>
      </w:pPr>
      <w:r>
        <w:rPr>
          <w:rFonts w:ascii="Liberation Sans" w:hAnsi="Liberation Sans" w:eastAsia="Liberation Sans"/>
        </w:rPr>
        <w:t xml:space="preserve">A viable data-protection issue would therefore need to identify the</w:t>
      </w:r>
      <w:r>
        <w:rPr>
          <w:rFonts w:ascii="Liberation Sans" w:hAnsi="Liberation Sans" w:eastAsia="Liberation Sans"/>
        </w:rPr>
        <w:t xml:space="preserve"> </w:t>
      </w:r>
      <w:r>
        <w:rPr>
          <w:rFonts w:ascii="Liberation Sans" w:hAnsi="Liberation Sans" w:eastAsia="Liberation Sans"/>
          <w:b/>
          <w:bCs/>
        </w:rPr>
        <w:t xml:space="preserve">data proposition</w:t>
      </w:r>
      <w:r>
        <w:rPr>
          <w:rFonts w:ascii="Liberation Sans" w:hAnsi="Liberation Sans" w:eastAsia="Liberation Sans"/>
        </w:rPr>
        <w:t xml:space="preserve">: for example, a demonstrably inaccurate attribution to the patient; a factual statement that the patient said X when reliable evidence shows Y; an omitted material patient statement that renders the relevant personal data incomplete for its processing purpose; or refusal to append an appropriate supplementary statement. It should not be framed as a back-door appeal on diagnostic merits.</w:t>
      </w:r>
    </w:p>
    <w:p>
      <w:pPr>
        <w:pStyle w:val="BodyText"/>
        <w:widowControl/>
      </w:pPr>
      <w:r>
        <w:rPr>
          <w:rFonts w:ascii="Liberation Sans" w:hAnsi="Liberation Sans" w:eastAsia="Liberation Sans"/>
        </w:rPr>
        <w:t xml:space="preserve">The first step is ordinarily a documented request to the controller, followed by a DPC complaint if necessary, with evidence of the request and response.</w:t>
      </w:r>
      <w:r>
        <w:rPr>
          <w:rStyle w:val="FootnoteReference"/>
          <w:rFonts w:ascii="Liberation Sans" w:hAnsi="Liberation Sans" w:eastAsia="Liberation Sans"/>
        </w:rPr>
        <w:footnoteReference w:id="93"/>
      </w:r>
    </w:p>
    <w:bookmarkEnd w:id="94"/>
    <w:bookmarkStart w:id="96" w:name="X4490e33a734786f27382f42f07a4b2077927158"/>
    <w:p>
      <w:pPr>
        <w:pStyle w:val="Heading2"/>
        <w:keepNext/>
      </w:pPr>
      <w:r>
        <w:rPr>
          <w:rFonts w:ascii="Liberation Sans" w:hAnsi="Liberation Sans" w:eastAsia="Liberation Sans"/>
        </w:rPr>
        <w:t xml:space="preserve">H. Patient Advocacy Service —</w:t>
      </w:r>
      <w:r>
        <w:rPr>
          <w:rFonts w:ascii="Liberation Sans" w:hAnsi="Liberation Sans" w:eastAsia="Liberation Sans"/>
        </w:rPr>
        <w:t xml:space="preserve"> </w:t>
      </w:r>
      <w:r>
        <w:rPr>
          <w:rFonts w:ascii="Liberation Sans" w:hAnsi="Liberation Sans" w:eastAsia="Liberation Sans"/>
          <w:b/>
          <w:bCs/>
        </w:rPr>
        <w:t xml:space="preserve">High practical value; no adjudicative power</w:t>
      </w:r>
    </w:p>
    <w:p>
      <w:pPr>
        <w:pStyle w:val="FirstParagraph"/>
      </w:pPr>
      <w:r>
        <w:rPr>
          <w:rFonts w:ascii="Liberation Sans" w:hAnsi="Liberation Sans" w:eastAsia="Liberation Sans"/>
        </w:rPr>
        <w:t xml:space="preserve">The Patient Advocacy Service is independent, free and confidential, and supports people making formal complaints about public acute hospital care and people in the aftermath of patient-safety incidents.</w:t>
      </w:r>
      <w:r>
        <w:rPr>
          <w:rStyle w:val="FootnoteReference"/>
          <w:rFonts w:ascii="Liberation Sans" w:hAnsi="Liberation Sans" w:eastAsia="Liberation Sans"/>
        </w:rPr>
        <w:footnoteReference w:id="95"/>
      </w:r>
      <w:r>
        <w:rPr>
          <w:rFonts w:ascii="Liberation Sans" w:hAnsi="Liberation Sans" w:eastAsia="Liberation Sans"/>
        </w:rPr>
        <w:t xml:space="preserve"> </w:t>
      </w:r>
      <w:r>
        <w:rPr>
          <w:rFonts w:ascii="Liberation Sans" w:hAnsi="Liberation Sans" w:eastAsia="Liberation Sans"/>
        </w:rPr>
        <w:t xml:space="preserve">It can help structure correspondence and navigate HSE complaint stages, but it does not make regulatory findings.</w:t>
      </w:r>
    </w:p>
    <w:p>
      <w:pPr>
        <w:pStyle w:val="BodyText"/>
        <w:widowControl/>
      </w:pPr>
      <w:r>
        <w:rPr>
          <w:rFonts w:ascii="Liberation Sans" w:hAnsi="Liberation Sans" w:eastAsia="Liberation Sans"/>
        </w:rPr>
        <w:t xml:space="preserve">This is a strong practical route for ensuring the allegation is expressed proportionately and that the patient’s voice is not lost in a highly technical dossier.</w:t>
      </w:r>
    </w:p>
    <w:bookmarkEnd w:id="96"/>
    <w:bookmarkStart w:id="98" w:name="X004eee8b72863c722c8a39b57539ebd7e8cf662"/>
    <w:p>
      <w:pPr>
        <w:pStyle w:val="Heading2"/>
        <w:keepNext/>
      </w:pPr>
      <w:r>
        <w:rPr>
          <w:rFonts w:ascii="Liberation Sans" w:hAnsi="Liberation Sans" w:eastAsia="Liberation Sans"/>
        </w:rPr>
        <w:t xml:space="preserve">I. Department of Health / National Patient Safety Office —</w:t>
      </w:r>
      <w:r>
        <w:rPr>
          <w:rFonts w:ascii="Liberation Sans" w:hAnsi="Liberation Sans" w:eastAsia="Liberation Sans"/>
        </w:rPr>
        <w:t xml:space="preserve"> </w:t>
      </w:r>
      <w:r>
        <w:rPr>
          <w:rFonts w:ascii="Liberation Sans" w:hAnsi="Liberation Sans" w:eastAsia="Liberation Sans"/>
          <w:b/>
          <w:bCs/>
        </w:rPr>
        <w:t xml:space="preserve">Medium after system significance is evidenced</w:t>
      </w:r>
    </w:p>
    <w:p>
      <w:pPr>
        <w:pStyle w:val="FirstParagraph"/>
      </w:pPr>
      <w:r>
        <w:rPr>
          <w:rFonts w:ascii="Liberation Sans" w:hAnsi="Liberation Sans" w:eastAsia="Liberation Sans"/>
        </w:rPr>
        <w:t xml:space="preserve">The NPSO provides national patient-safety policy and leadership, works on legislation, surveillance, clinical effectiveness and policy/governance, and liaises with the HSE on patient-safety incidents as required.</w:t>
      </w:r>
      <w:r>
        <w:rPr>
          <w:rStyle w:val="FootnoteReference"/>
          <w:rFonts w:ascii="Liberation Sans" w:hAnsi="Liberation Sans" w:eastAsia="Liberation Sans"/>
        </w:rPr>
        <w:footnoteReference w:id="97"/>
      </w:r>
      <w:r>
        <w:rPr>
          <w:rFonts w:ascii="Liberation Sans" w:hAnsi="Liberation Sans" w:eastAsia="Liberation Sans"/>
        </w:rPr>
        <w:t xml:space="preserve"> </w:t>
      </w:r>
      <w:r>
        <w:rPr>
          <w:rFonts w:ascii="Liberation Sans" w:hAnsi="Liberation Sans" w:eastAsia="Liberation Sans"/>
        </w:rPr>
        <w:t xml:space="preserve">It is not the first-line investigator of an individual historical clinical dispute.</w:t>
      </w:r>
    </w:p>
    <w:p>
      <w:pPr>
        <w:pStyle w:val="BodyText"/>
        <w:widowControl/>
      </w:pPr>
      <w:r>
        <w:rPr>
          <w:rFonts w:ascii="Liberation Sans" w:hAnsi="Liberation Sans" w:eastAsia="Liberation Sans"/>
        </w:rPr>
        <w:t xml:space="preserve">A mature submission should therefore present</w:t>
      </w:r>
      <w:r>
        <w:rPr>
          <w:rFonts w:ascii="Liberation Sans" w:hAnsi="Liberation Sans" w:eastAsia="Liberation Sans"/>
        </w:rPr>
        <w:t xml:space="preserve"> </w:t>
      </w:r>
      <w:r>
        <w:rPr>
          <w:rFonts w:ascii="Liberation Sans" w:hAnsi="Liberation Sans" w:eastAsia="Liberation Sans"/>
          <w:b/>
          <w:bCs/>
        </w:rPr>
        <w:t xml:space="preserve">a validated failure mode</w:t>
      </w:r>
      <w:r>
        <w:rPr>
          <w:rFonts w:ascii="Liberation Sans" w:hAnsi="Liberation Sans" w:eastAsia="Liberation Sans"/>
        </w:rPr>
        <w:t xml:space="preserve">, not a grievance: how specialist records can create self-reinforcing information states, what current assurance methods may miss, and what policy or national learning response is proposed.</w:t>
      </w:r>
    </w:p>
    <w:bookmarkEnd w:id="98"/>
    <w:bookmarkStart w:id="101" w:name="Xb8b1fafeb1900caa64e9b3964a4efce08acd29b"/>
    <w:p>
      <w:pPr>
        <w:pStyle w:val="Heading2"/>
        <w:keepNext/>
      </w:pPr>
      <w:r>
        <w:rPr>
          <w:rFonts w:ascii="Liberation Sans" w:hAnsi="Liberation Sans" w:eastAsia="Liberation Sans"/>
        </w:rPr>
        <w:t xml:space="preserve">J. RCPI and postgraduate training bodies —</w:t>
      </w:r>
      <w:r>
        <w:rPr>
          <w:rFonts w:ascii="Liberation Sans" w:hAnsi="Liberation Sans" w:eastAsia="Liberation Sans"/>
        </w:rPr>
        <w:t xml:space="preserve"> </w:t>
      </w:r>
      <w:r>
        <w:rPr>
          <w:rFonts w:ascii="Liberation Sans" w:hAnsi="Liberation Sans" w:eastAsia="Liberation Sans"/>
          <w:b/>
          <w:bCs/>
        </w:rPr>
        <w:t xml:space="preserve">Medium for professional learning; low for case adjudication</w:t>
      </w:r>
    </w:p>
    <w:p>
      <w:pPr>
        <w:pStyle w:val="FirstParagraph"/>
      </w:pPr>
      <w:r>
        <w:rPr>
          <w:rFonts w:ascii="Liberation Sans" w:hAnsi="Liberation Sans" w:eastAsia="Liberation Sans"/>
        </w:rPr>
        <w:t xml:space="preserve">RCPI operates professional competence schemes and educational infrastructure; the current Maintenance of Professional Competence framework emphasises ongoing competence, reflection and quality improvement.</w:t>
      </w:r>
      <w:r>
        <w:rPr>
          <w:rStyle w:val="FootnoteReference"/>
          <w:rFonts w:ascii="Liberation Sans" w:hAnsi="Liberation Sans" w:eastAsia="Liberation Sans"/>
        </w:rPr>
        <w:footnoteReference w:id="99"/>
      </w:r>
      <w:r>
        <w:rPr>
          <w:rFonts w:ascii="Liberation Sans" w:hAnsi="Liberation Sans" w:eastAsia="Liberation Sans"/>
        </w:rPr>
        <w:t xml:space="preserve"> </w:t>
      </w:r>
      <w:r>
        <w:rPr>
          <w:rFonts w:ascii="Liberation Sans" w:hAnsi="Liberation Sans" w:eastAsia="Liberation Sans"/>
        </w:rPr>
        <w:t xml:space="preserve">That creates a legitimate educational audience for questions about documentary epistemic integrity, diagnostic stewardship and double-loop learning.</w:t>
      </w:r>
    </w:p>
    <w:p>
      <w:pPr>
        <w:pStyle w:val="BodyText"/>
        <w:widowControl/>
      </w:pPr>
      <w:r>
        <w:rPr>
          <w:rFonts w:ascii="Liberation Sans" w:hAnsi="Liberation Sans" w:eastAsia="Liberation Sans"/>
        </w:rPr>
        <w:t xml:space="preserve">RCPI should not be asked to adjudicate an individual complaint merely because a doctor is a Fellow/member or trained in its system. Where HSE incident review requires specialty expertise, the HSE notes that external specialist support can be sourced through the Forum of Irish Postgraduate Medical Training Bodies.</w:t>
      </w:r>
      <w:r>
        <w:rPr>
          <w:rStyle w:val="FootnoteReference"/>
          <w:rFonts w:ascii="Liberation Sans" w:hAnsi="Liberation Sans" w:eastAsia="Liberation Sans"/>
        </w:rPr>
        <w:footnoteReference w:id="100"/>
      </w:r>
    </w:p>
    <w:bookmarkEnd w:id="101"/>
    <w:bookmarkStart w:id="102" w:name="X465cfe5318d0077c016c2094458dc81f46f119e"/>
    <w:p>
      <w:pPr>
        <w:pStyle w:val="Heading2"/>
        <w:keepNext/>
      </w:pPr>
      <w:r>
        <w:rPr>
          <w:rFonts w:ascii="Liberation Sans" w:hAnsi="Liberation Sans" w:eastAsia="Liberation Sans"/>
        </w:rPr>
        <w:t xml:space="preserve">K. University / teaching governance, including University of Galway —</w:t>
      </w:r>
      <w:r>
        <w:rPr>
          <w:rFonts w:ascii="Liberation Sans" w:hAnsi="Liberation Sans" w:eastAsia="Liberation Sans"/>
        </w:rPr>
        <w:t xml:space="preserve"> </w:t>
      </w:r>
      <w:r>
        <w:rPr>
          <w:rFonts w:ascii="Liberation Sans" w:hAnsi="Liberation Sans" w:eastAsia="Liberation Sans"/>
          <w:b/>
          <w:bCs/>
        </w:rPr>
        <w:t xml:space="preserve">Low unless a real institutional nexus is proved</w:t>
      </w:r>
    </w:p>
    <w:p>
      <w:pPr>
        <w:pStyle w:val="FirstParagraph"/>
      </w:pPr>
      <w:r>
        <w:rPr>
          <w:rFonts w:ascii="Liberation Sans" w:hAnsi="Liberation Sans" w:eastAsia="Liberation Sans"/>
        </w:rPr>
        <w:t xml:space="preserve">University governance becomes relevant only if there is evidence that the clinical episode, records or subsequent case material were used in teaching, research, a university-controlled service, supervision, assessment or another activity within university responsibility. A clinician’s academic affiliation alone is insufficient.</w:t>
      </w:r>
    </w:p>
    <w:p>
      <w:pPr>
        <w:pStyle w:val="BodyText"/>
        <w:widowControl/>
      </w:pPr>
      <w:r>
        <w:rPr>
          <w:rFonts w:ascii="Liberation Sans" w:hAnsi="Liberation Sans" w:eastAsia="Liberation Sans"/>
        </w:rPr>
        <w:t xml:space="preserve">Research-ethics and research-integrity mechanisms should be engaged only if research, educational reuse or research misconduct is actually in the facts. Ordinary clinical documentation disputes should not be relabelled as research-integrity cases.</w:t>
      </w:r>
    </w:p>
    <w:bookmarkEnd w:id="102"/>
    <w:bookmarkStart w:id="104" w:name="Xbb8693f9b077aa2b956c241450ccb8f1bcbb9e2"/>
    <w:p>
      <w:pPr>
        <w:pStyle w:val="Heading2"/>
        <w:keepNext/>
      </w:pPr>
      <w:r>
        <w:rPr>
          <w:rFonts w:ascii="Liberation Sans" w:hAnsi="Liberation Sans" w:eastAsia="Liberation Sans"/>
        </w:rPr>
        <w:t xml:space="preserve">L. Professional indemnity / medico-legal ethics organisations —</w:t>
      </w:r>
      <w:r>
        <w:rPr>
          <w:rFonts w:ascii="Liberation Sans" w:hAnsi="Liberation Sans" w:eastAsia="Liberation Sans"/>
        </w:rPr>
        <w:t xml:space="preserve"> </w:t>
      </w:r>
      <w:r>
        <w:rPr>
          <w:rFonts w:ascii="Liberation Sans" w:hAnsi="Liberation Sans" w:eastAsia="Liberation Sans"/>
          <w:b/>
          <w:bCs/>
        </w:rPr>
        <w:t xml:space="preserve">Low–Medium advisory relevance</w:t>
      </w:r>
    </w:p>
    <w:p>
      <w:pPr>
        <w:pStyle w:val="FirstParagraph"/>
      </w:pPr>
      <w:r>
        <w:rPr>
          <w:rFonts w:ascii="Liberation Sans" w:hAnsi="Liberation Sans" w:eastAsia="Liberation Sans"/>
        </w:rPr>
        <w:t xml:space="preserve">Medical defence and indemnity organisations can advise their members on record keeping, disclosure, complaints and professional obligations. They are not public adjudicators of a patient’s allegations. Their published guidance can, however, help establish the profession’s understanding of contemporaneous record obligations; for example, Medical Protection quotes the 2016 Medical Council requirement that patient records be accurate and up to date.</w:t>
      </w:r>
      <w:r>
        <w:rPr>
          <w:rStyle w:val="FootnoteReference"/>
          <w:rFonts w:ascii="Liberation Sans" w:hAnsi="Liberation Sans" w:eastAsia="Liberation Sans"/>
        </w:rPr>
        <w:footnoteReference w:id="103"/>
      </w:r>
    </w:p>
    <w:bookmarkEnd w:id="104"/>
    <w:bookmarkEnd w:id="105"/>
    <w:bookmarkStart w:id="122" w:name="part-viii-european-institutional-map"/>
    <w:p>
      <w:pPr>
        <w:pStyle w:val="Heading1"/>
        <w:keepNext/>
      </w:pPr>
      <w:r>
        <w:rPr>
          <w:rFonts w:ascii="Liberation Sans" w:hAnsi="Liberation Sans" w:eastAsia="Liberation Sans"/>
        </w:rPr>
        <w:t xml:space="preserve">Part VIII — European institutional map</w:t>
      </w:r>
    </w:p>
    <w:bookmarkStart w:id="107" w:name="X78f67a3a2f67dab63e57ee624a31c0a6e34d317"/>
    <w:p>
      <w:pPr>
        <w:pStyle w:val="Heading2"/>
        <w:keepNext/>
      </w:pPr>
      <w:r>
        <w:rPr>
          <w:rFonts w:ascii="Liberation Sans" w:hAnsi="Liberation Sans" w:eastAsia="Liberation Sans"/>
        </w:rPr>
        <w:t xml:space="preserve">European Data Protection Board —</w:t>
      </w:r>
      <w:r>
        <w:rPr>
          <w:rFonts w:ascii="Liberation Sans" w:hAnsi="Liberation Sans" w:eastAsia="Liberation Sans"/>
        </w:rPr>
        <w:t xml:space="preserve"> </w:t>
      </w:r>
      <w:r>
        <w:rPr>
          <w:rFonts w:ascii="Liberation Sans" w:hAnsi="Liberation Sans" w:eastAsia="Liberation Sans"/>
          <w:b/>
          <w:bCs/>
        </w:rPr>
        <w:t xml:space="preserve">Policy/guidance relevance, no individual complaint jurisdiction</w:t>
      </w:r>
    </w:p>
    <w:p>
      <w:pPr>
        <w:pStyle w:val="FirstParagraph"/>
      </w:pPr>
      <w:r>
        <w:rPr>
          <w:rFonts w:ascii="Liberation Sans" w:hAnsi="Liberation Sans" w:eastAsia="Liberation Sans"/>
        </w:rPr>
        <w:t xml:space="preserve">The EDPB is not a supervisory authority and has no investigative, corrective or sanctioning powers. It explicitly says that it does not handle complaints or investigations; individuals should approach the relevant national data-protection authority or courts.</w:t>
      </w:r>
      <w:r>
        <w:rPr>
          <w:rStyle w:val="FootnoteReference"/>
          <w:rFonts w:ascii="Liberation Sans" w:hAnsi="Liberation Sans" w:eastAsia="Liberation Sans"/>
        </w:rPr>
        <w:footnoteReference w:id="106"/>
      </w:r>
    </w:p>
    <w:p>
      <w:pPr>
        <w:pStyle w:val="BodyText"/>
        <w:widowControl/>
      </w:pPr>
      <w:r>
        <w:rPr>
          <w:rFonts w:ascii="Liberation Sans" w:hAnsi="Liberation Sans" w:eastAsia="Liberation Sans"/>
        </w:rPr>
        <w:t xml:space="preserve">The mechanism could matter to the EDPB only at a general guidance level—for example, how Article 16 completion/supplementary statements should operate for contested clinical narratives in interoperable EHRs. An individual Irish case belongs first with the controller and the Irish DPC.</w:t>
      </w:r>
    </w:p>
    <w:bookmarkEnd w:id="107"/>
    <w:bookmarkStart w:id="110" w:name="Xe0ce77b5cc383129c86d24d643393c6b29f0112"/>
    <w:p>
      <w:pPr>
        <w:pStyle w:val="Heading2"/>
        <w:keepNext/>
      </w:pPr>
      <w:r>
        <w:rPr>
          <w:rFonts w:ascii="Liberation Sans" w:hAnsi="Liberation Sans" w:eastAsia="Liberation Sans"/>
        </w:rPr>
        <w:t xml:space="preserve">European Commission health functions —</w:t>
      </w:r>
      <w:r>
        <w:rPr>
          <w:rFonts w:ascii="Liberation Sans" w:hAnsi="Liberation Sans" w:eastAsia="Liberation Sans"/>
        </w:rPr>
        <w:t xml:space="preserve"> </w:t>
      </w:r>
      <w:r>
        <w:rPr>
          <w:rFonts w:ascii="Liberation Sans" w:hAnsi="Liberation Sans" w:eastAsia="Liberation Sans"/>
          <w:b/>
          <w:bCs/>
        </w:rPr>
        <w:t xml:space="preserve">Policy relevance, not general clinical-complaint jurisdiction</w:t>
      </w:r>
    </w:p>
    <w:p>
      <w:pPr>
        <w:pStyle w:val="FirstParagraph"/>
      </w:pPr>
      <w:r>
        <w:rPr>
          <w:rFonts w:ascii="Liberation Sans" w:hAnsi="Liberation Sans" w:eastAsia="Liberation Sans"/>
        </w:rPr>
        <w:t xml:space="preserve">EU health policy can support cooperation, safety, digital-health rules and cross-border initiatives, but Article 168(7) TFEU preserves Member State responsibility for defining health policy and organising/delivering health services and medical care.</w:t>
      </w:r>
      <w:r>
        <w:rPr>
          <w:rStyle w:val="FootnoteReference"/>
          <w:rFonts w:ascii="Liberation Sans" w:hAnsi="Liberation Sans" w:eastAsia="Liberation Sans"/>
        </w:rPr>
        <w:footnoteReference w:id="108"/>
      </w:r>
      <w:r>
        <w:rPr>
          <w:rFonts w:ascii="Liberation Sans" w:hAnsi="Liberation Sans" w:eastAsia="Liberation Sans"/>
        </w:rPr>
        <w:t xml:space="preserve"> </w:t>
      </w:r>
      <w:r>
        <w:rPr>
          <w:rFonts w:ascii="Liberation Sans" w:hAnsi="Liberation Sans" w:eastAsia="Liberation Sans"/>
        </w:rPr>
        <w:t xml:space="preserve">The Commission should therefore not be portrayed as a general appellate body for Irish clinical care.</w:t>
      </w:r>
    </w:p>
    <w:p>
      <w:pPr>
        <w:pStyle w:val="BodyText"/>
        <w:widowControl/>
      </w:pPr>
      <w:r>
        <w:rPr>
          <w:rFonts w:ascii="Liberation Sans" w:hAnsi="Liberation Sans" w:eastAsia="Liberation Sans"/>
        </w:rPr>
        <w:t xml:space="preserve">The European Health Data Space Regulation is relevant to the future standards watch because it strengthens EU infrastructure for access to and use of electronic health data and contemplates rectification under data-protection law; its implementation is staged rather than an immediate substitute for existing national/GDPR mechanisms.</w:t>
      </w:r>
      <w:r>
        <w:rPr>
          <w:rStyle w:val="FootnoteReference"/>
          <w:rFonts w:ascii="Liberation Sans" w:hAnsi="Liberation Sans" w:eastAsia="Liberation Sans"/>
        </w:rPr>
        <w:footnoteReference w:id="109"/>
      </w:r>
    </w:p>
    <w:bookmarkEnd w:id="110"/>
    <w:bookmarkStart w:id="112" w:name="X342bc2d6bfb64bdc6e3793b15dc74cb156629eb"/>
    <w:p>
      <w:pPr>
        <w:pStyle w:val="Heading2"/>
        <w:keepNext/>
      </w:pPr>
      <w:r>
        <w:rPr>
          <w:rFonts w:ascii="Liberation Sans" w:hAnsi="Liberation Sans" w:eastAsia="Liberation Sans"/>
        </w:rPr>
        <w:t xml:space="preserve">European Union Agency for Fundamental Rights —</w:t>
      </w:r>
      <w:r>
        <w:rPr>
          <w:rFonts w:ascii="Liberation Sans" w:hAnsi="Liberation Sans" w:eastAsia="Liberation Sans"/>
        </w:rPr>
        <w:t xml:space="preserve"> </w:t>
      </w:r>
      <w:r>
        <w:rPr>
          <w:rFonts w:ascii="Liberation Sans" w:hAnsi="Liberation Sans" w:eastAsia="Liberation Sans"/>
          <w:b/>
          <w:bCs/>
        </w:rPr>
        <w:t xml:space="preserve">Research/policy relevance; no complaints</w:t>
      </w:r>
    </w:p>
    <w:p>
      <w:pPr>
        <w:pStyle w:val="FirstParagraph"/>
      </w:pPr>
      <w:r>
        <w:rPr>
          <w:rFonts w:ascii="Liberation Sans" w:hAnsi="Liberation Sans" w:eastAsia="Liberation Sans"/>
        </w:rPr>
        <w:t xml:space="preserve">FRA provides evidence and advice on fundamental rights within EU competence. Its founding framework deliberately excludes dealing with individual complaints.</w:t>
      </w:r>
      <w:r>
        <w:rPr>
          <w:rStyle w:val="FootnoteReference"/>
          <w:rFonts w:ascii="Liberation Sans" w:hAnsi="Liberation Sans" w:eastAsia="Liberation Sans"/>
        </w:rPr>
        <w:footnoteReference w:id="111"/>
      </w:r>
    </w:p>
    <w:p>
      <w:pPr>
        <w:pStyle w:val="BodyText"/>
        <w:widowControl/>
      </w:pPr>
      <w:r>
        <w:rPr>
          <w:rFonts w:ascii="Liberation Sans" w:hAnsi="Liberation Sans" w:eastAsia="Liberation Sans"/>
        </w:rPr>
        <w:t xml:space="preserve">A de-identified mechanism might interest FRA where it intersects with data protection, access to justice, dignity or rights in digital health, but engagement would be policy/research communication rather than an application for adjudication.</w:t>
      </w:r>
    </w:p>
    <w:bookmarkEnd w:id="112"/>
    <w:bookmarkStart w:id="115" w:name="X3bb8b2a406f723eabf6dee32167299699546320"/>
    <w:p>
      <w:pPr>
        <w:pStyle w:val="Heading2"/>
        <w:keepNext/>
      </w:pPr>
      <w:r>
        <w:rPr>
          <w:rFonts w:ascii="Liberation Sans" w:hAnsi="Liberation Sans" w:eastAsia="Liberation Sans"/>
        </w:rPr>
        <w:t xml:space="preserve">Council of Europe CDBIO and the Oviedo framework —</w:t>
      </w:r>
      <w:r>
        <w:rPr>
          <w:rFonts w:ascii="Liberation Sans" w:hAnsi="Liberation Sans" w:eastAsia="Liberation Sans"/>
        </w:rPr>
        <w:t xml:space="preserve"> </w:t>
      </w:r>
      <w:r>
        <w:rPr>
          <w:rFonts w:ascii="Liberation Sans" w:hAnsi="Liberation Sans" w:eastAsia="Liberation Sans"/>
          <w:b/>
          <w:bCs/>
        </w:rPr>
        <w:t xml:space="preserve">High normative relevance, no ordinary individual complaint route</w:t>
      </w:r>
    </w:p>
    <w:p>
      <w:pPr>
        <w:pStyle w:val="FirstParagraph"/>
      </w:pPr>
      <w:r>
        <w:rPr>
          <w:rFonts w:ascii="Liberation Sans" w:hAnsi="Liberation Sans" w:eastAsia="Liberation Sans"/>
        </w:rPr>
        <w:t xml:space="preserve">The Council of Europe’s Steering Committee for Human Rights in the fields of Biomedicine and Health (CDBIO) develops normative and policy work at the intersection of biomedicine, health and human rights.</w:t>
      </w:r>
      <w:r>
        <w:rPr>
          <w:rStyle w:val="FootnoteReference"/>
          <w:rFonts w:ascii="Liberation Sans" w:hAnsi="Liberation Sans" w:eastAsia="Liberation Sans"/>
        </w:rPr>
        <w:footnoteReference w:id="113"/>
      </w:r>
      <w:r>
        <w:rPr>
          <w:rFonts w:ascii="Liberation Sans" w:hAnsi="Liberation Sans" w:eastAsia="Liberation Sans"/>
        </w:rPr>
        <w:t xml:space="preserve"> </w:t>
      </w:r>
      <w:r>
        <w:rPr>
          <w:rFonts w:ascii="Liberation Sans" w:hAnsi="Liberation Sans" w:eastAsia="Liberation Sans"/>
        </w:rPr>
        <w:t xml:space="preserve">This makes it a strong conceptual audience for questions about patient participation, health information, professional authority and digital/AI-era biomedical governance.</w:t>
      </w:r>
    </w:p>
    <w:p>
      <w:pPr>
        <w:pStyle w:val="BodyText"/>
        <w:widowControl/>
      </w:pPr>
      <w:r>
        <w:rPr>
          <w:rFonts w:ascii="Liberation Sans" w:hAnsi="Liberation Sans" w:eastAsia="Liberation Sans"/>
        </w:rPr>
        <w:t xml:space="preserve">The Convention on Human Rights and Biomedicine (Oviedo Convention) is an important bioethical comparator, but jurisdiction must be stated precisely. Ireland is not listed as a signatory or ratifying state on the Council of Europe’s treaty status page for Convention No. 164.</w:t>
      </w:r>
      <w:r>
        <w:rPr>
          <w:rStyle w:val="FootnoteReference"/>
          <w:rFonts w:ascii="Liberation Sans" w:hAnsi="Liberation Sans" w:eastAsia="Liberation Sans"/>
        </w:rPr>
        <w:footnoteReference w:id="114"/>
      </w:r>
      <w:r>
        <w:rPr>
          <w:rFonts w:ascii="Liberation Sans" w:hAnsi="Liberation Sans" w:eastAsia="Liberation Sans"/>
        </w:rPr>
        <w:t xml:space="preserve"> </w:t>
      </w:r>
      <w:r>
        <w:rPr>
          <w:rFonts w:ascii="Liberation Sans" w:hAnsi="Liberation Sans" w:eastAsia="Liberation Sans"/>
        </w:rPr>
        <w:t xml:space="preserve">It should not be cited as binding Irish law on that basis.</w:t>
      </w:r>
    </w:p>
    <w:bookmarkEnd w:id="115"/>
    <w:bookmarkStart w:id="117" w:name="Xb98c901835ca94bf50c65f87c6bc5966b9138b6"/>
    <w:p>
      <w:pPr>
        <w:pStyle w:val="Heading2"/>
        <w:keepNext/>
      </w:pPr>
      <w:r>
        <w:rPr>
          <w:rFonts w:ascii="Liberation Sans" w:hAnsi="Liberation Sans" w:eastAsia="Liberation Sans"/>
        </w:rPr>
        <w:t xml:space="preserve">European Court of Human Rights —</w:t>
      </w:r>
      <w:r>
        <w:rPr>
          <w:rFonts w:ascii="Liberation Sans" w:hAnsi="Liberation Sans" w:eastAsia="Liberation Sans"/>
        </w:rPr>
        <w:t xml:space="preserve"> </w:t>
      </w:r>
      <w:r>
        <w:rPr>
          <w:rFonts w:ascii="Liberation Sans" w:hAnsi="Liberation Sans" w:eastAsia="Liberation Sans"/>
          <w:b/>
          <w:bCs/>
        </w:rPr>
        <w:t xml:space="preserve">Low and highly conditional</w:t>
      </w:r>
    </w:p>
    <w:p>
      <w:pPr>
        <w:pStyle w:val="FirstParagraph"/>
      </w:pPr>
      <w:r>
        <w:rPr>
          <w:rFonts w:ascii="Liberation Sans" w:hAnsi="Liberation Sans" w:eastAsia="Liberation Sans"/>
        </w:rPr>
        <w:t xml:space="preserve">The ECtHR is a judicial mechanism for alleged violations of Convention rights by states, not a medical-ethics tribunal or factual appeal from clinical reviews. Applications face strict admissibility rules, including exhaustion of domestic remedies and a four-month time limit from the final domestic decision, subject to the detailed case law.</w:t>
      </w:r>
      <w:r>
        <w:rPr>
          <w:rStyle w:val="FootnoteReference"/>
          <w:rFonts w:ascii="Liberation Sans" w:hAnsi="Liberation Sans" w:eastAsia="Liberation Sans"/>
        </w:rPr>
        <w:footnoteReference w:id="116"/>
      </w:r>
    </w:p>
    <w:p>
      <w:pPr>
        <w:pStyle w:val="BodyText"/>
        <w:widowControl/>
      </w:pPr>
      <w:r>
        <w:rPr>
          <w:rFonts w:ascii="Liberation Sans" w:hAnsi="Liberation Sans" w:eastAsia="Liberation Sans"/>
        </w:rPr>
        <w:t xml:space="preserve">Only a lawyer assessing a concrete Convention right, state responsibility and procedural history should evaluate this route. The ethical mechanism’s seriousness does not itself create ECtHR jurisdiction.</w:t>
      </w:r>
    </w:p>
    <w:bookmarkEnd w:id="117"/>
    <w:bookmarkStart w:id="121" w:name="X4b07d6481262538019ef7d14f8bf554c875b9c7"/>
    <w:p>
      <w:pPr>
        <w:pStyle w:val="Heading2"/>
        <w:keepNext/>
      </w:pPr>
      <w:r>
        <w:rPr>
          <w:rFonts w:ascii="Liberation Sans" w:hAnsi="Liberation Sans" w:eastAsia="Liberation Sans"/>
        </w:rPr>
        <w:t xml:space="preserve">European professional and academic networks —</w:t>
      </w:r>
      <w:r>
        <w:rPr>
          <w:rFonts w:ascii="Liberation Sans" w:hAnsi="Liberation Sans" w:eastAsia="Liberation Sans"/>
        </w:rPr>
        <w:t xml:space="preserve"> </w:t>
      </w:r>
      <w:r>
        <w:rPr>
          <w:rFonts w:ascii="Liberation Sans" w:hAnsi="Liberation Sans" w:eastAsia="Liberation Sans"/>
          <w:b/>
          <w:bCs/>
        </w:rPr>
        <w:t xml:space="preserve">Medium–High scholarly relevance</w:t>
      </w:r>
    </w:p>
    <w:p>
      <w:pPr>
        <w:pStyle w:val="FirstParagraph"/>
      </w:pPr>
      <w:r>
        <w:rPr>
          <w:rFonts w:ascii="Liberation Sans" w:hAnsi="Liberation Sans" w:eastAsia="Liberation Sans"/>
        </w:rPr>
        <w:t xml:space="preserve">The European Society for Philosophy of Medicine and Health Care (ESPMH) exists to develop philosophy of medicine and healthcare and connect scholars across Europe.</w:t>
      </w:r>
      <w:r>
        <w:rPr>
          <w:rStyle w:val="FootnoteReference"/>
          <w:rFonts w:ascii="Liberation Sans" w:hAnsi="Liberation Sans" w:eastAsia="Liberation Sans"/>
        </w:rPr>
        <w:footnoteReference w:id="118"/>
      </w:r>
      <w:r>
        <w:rPr>
          <w:rFonts w:ascii="Liberation Sans" w:hAnsi="Liberation Sans" w:eastAsia="Liberation Sans"/>
        </w:rPr>
        <w:t xml:space="preserve"> </w:t>
      </w:r>
      <w:r>
        <w:rPr>
          <w:rFonts w:ascii="Liberation Sans" w:hAnsi="Liberation Sans" w:eastAsia="Liberation Sans"/>
        </w:rPr>
        <w:t xml:space="preserve">The European Association of Centres of Medical Ethics (EACME) supports teaching, research, communication and debate on ethical issues in healthcare practice, policy and biomedical science.</w:t>
      </w:r>
      <w:r>
        <w:rPr>
          <w:rStyle w:val="FootnoteReference"/>
          <w:rFonts w:ascii="Liberation Sans" w:hAnsi="Liberation Sans" w:eastAsia="Liberation Sans"/>
        </w:rPr>
        <w:footnoteReference w:id="119"/>
      </w:r>
      <w:r>
        <w:rPr>
          <w:rFonts w:ascii="Liberation Sans" w:hAnsi="Liberation Sans" w:eastAsia="Liberation Sans"/>
        </w:rPr>
        <w:t xml:space="preserve"> </w:t>
      </w:r>
      <w:r>
        <w:rPr>
          <w:rFonts w:ascii="Liberation Sans" w:hAnsi="Liberation Sans" w:eastAsia="Liberation Sans"/>
        </w:rPr>
        <w:t xml:space="preserve">The European Federation for Medical Informatics (EFMI) promotes high standards, research and education in medical informatics.</w:t>
      </w:r>
      <w:r>
        <w:rPr>
          <w:rStyle w:val="FootnoteReference"/>
          <w:rFonts w:ascii="Liberation Sans" w:hAnsi="Liberation Sans" w:eastAsia="Liberation Sans"/>
        </w:rPr>
        <w:footnoteReference w:id="120"/>
      </w:r>
    </w:p>
    <w:p>
      <w:pPr>
        <w:pStyle w:val="BodyText"/>
        <w:widowControl/>
      </w:pPr>
      <w:r>
        <w:rPr>
          <w:rFonts w:ascii="Liberation Sans" w:hAnsi="Liberation Sans" w:eastAsia="Liberation Sans"/>
        </w:rPr>
        <w:t xml:space="preserve">These are unusually good audiences for the</w:t>
      </w:r>
      <w:r>
        <w:rPr>
          <w:rFonts w:ascii="Liberation Sans" w:hAnsi="Liberation Sans" w:eastAsia="Liberation Sans"/>
        </w:rPr>
        <w:t xml:space="preserve"> </w:t>
      </w:r>
      <w:r>
        <w:rPr>
          <w:rFonts w:ascii="Liberation Sans" w:hAnsi="Liberation Sans" w:eastAsia="Liberation Sans"/>
          <w:i/>
          <w:iCs/>
        </w:rPr>
        <w:t xml:space="preserve">general mechanism</w:t>
      </w:r>
      <w:r>
        <w:rPr>
          <w:rFonts w:ascii="Liberation Sans" w:hAnsi="Liberation Sans" w:eastAsia="Liberation Sans"/>
        </w:rPr>
        <w:t xml:space="preserve"> </w:t>
      </w:r>
      <w:r>
        <w:rPr>
          <w:rFonts w:ascii="Liberation Sans" w:hAnsi="Liberation Sans" w:eastAsia="Liberation Sans"/>
        </w:rPr>
        <w:t xml:space="preserve">because it sits precisely across philosophy of medicine, clinical ethics, health-information governance and longitudinal epistemology. None should be approached as if it could decide the individual complaint.</w:t>
      </w:r>
    </w:p>
    <w:bookmarkEnd w:id="121"/>
    <w:bookmarkEnd w:id="122"/>
    <w:bookmarkStart w:id="136" w:name="X9c423f768d543c33f49c0046c3c786e1bd1f0d9"/>
    <w:p>
      <w:pPr>
        <w:pStyle w:val="Heading1"/>
        <w:keepNext/>
      </w:pPr>
      <w:r>
        <w:rPr>
          <w:rFonts w:ascii="Liberation Sans" w:hAnsi="Liberation Sans" w:eastAsia="Liberation Sans"/>
        </w:rPr>
        <w:t xml:space="preserve">Part IX — Global institutional and ethical map</w:t>
      </w:r>
    </w:p>
    <w:bookmarkStart w:id="124" w:name="Xd1aa919441ea79370a13cf3642b9c9f141b482b"/>
    <w:p>
      <w:pPr>
        <w:pStyle w:val="Heading2"/>
        <w:keepNext/>
      </w:pPr>
      <w:r>
        <w:rPr>
          <w:rFonts w:ascii="Liberation Sans" w:hAnsi="Liberation Sans" w:eastAsia="Liberation Sans"/>
        </w:rPr>
        <w:t xml:space="preserve">World Health Organization —</w:t>
      </w:r>
      <w:r>
        <w:rPr>
          <w:rFonts w:ascii="Liberation Sans" w:hAnsi="Liberation Sans" w:eastAsia="Liberation Sans"/>
        </w:rPr>
        <w:t xml:space="preserve"> </w:t>
      </w:r>
      <w:r>
        <w:rPr>
          <w:rFonts w:ascii="Liberation Sans" w:hAnsi="Liberation Sans" w:eastAsia="Liberation Sans"/>
          <w:b/>
          <w:bCs/>
        </w:rPr>
        <w:t xml:space="preserve">High systemic relevance; no individual adjudication</w:t>
      </w:r>
    </w:p>
    <w:p>
      <w:pPr>
        <w:pStyle w:val="FirstParagraph"/>
      </w:pPr>
      <w:r>
        <w:rPr>
          <w:rFonts w:ascii="Liberation Sans" w:hAnsi="Liberation Sans" w:eastAsia="Liberation Sans"/>
        </w:rPr>
        <w:t xml:space="preserve">WHO’s Global Patient Safety Action Plan 2021–2030 provides a framework for eliminating avoidable harm and strengthening safety across health systems.</w:t>
      </w:r>
      <w:r>
        <w:rPr>
          <w:rStyle w:val="FootnoteReference"/>
          <w:rFonts w:ascii="Liberation Sans" w:hAnsi="Liberation Sans" w:eastAsia="Liberation Sans"/>
        </w:rPr>
        <w:footnoteReference w:id="123"/>
      </w:r>
      <w:r>
        <w:rPr>
          <w:rFonts w:ascii="Liberation Sans" w:hAnsi="Liberation Sans" w:eastAsia="Liberation Sans"/>
        </w:rPr>
        <w:t xml:space="preserve"> </w:t>
      </w:r>
      <w:r>
        <w:rPr>
          <w:rFonts w:ascii="Liberation Sans" w:hAnsi="Liberation Sans" w:eastAsia="Liberation Sans"/>
        </w:rPr>
        <w:t xml:space="preserve">The alleged mechanism fits especially well with the action plan’s learning-system orientation: the safety problem is not only an initial error but the possibility that information architecture impairs subsequent learning.</w:t>
      </w:r>
    </w:p>
    <w:p>
      <w:pPr>
        <w:pStyle w:val="BodyText"/>
        <w:widowControl/>
      </w:pPr>
      <w:r>
        <w:rPr>
          <w:rFonts w:ascii="Liberation Sans" w:hAnsi="Liberation Sans" w:eastAsia="Liberation Sans"/>
        </w:rPr>
        <w:t xml:space="preserve">A suitable WHO-facing output would be a mature, de-identified policy/research paper or patient-safety case mechanism, ideally supported by comparative evidence beyond one case.</w:t>
      </w:r>
    </w:p>
    <w:bookmarkEnd w:id="124"/>
    <w:bookmarkStart w:id="126" w:name="X80ed10cecbe1ace408f2f519d14deb2a4b70865"/>
    <w:p>
      <w:pPr>
        <w:pStyle w:val="Heading2"/>
        <w:keepNext/>
      </w:pPr>
      <w:r>
        <w:rPr>
          <w:rFonts w:ascii="Liberation Sans" w:hAnsi="Liberation Sans" w:eastAsia="Liberation Sans"/>
        </w:rPr>
        <w:t xml:space="preserve">World Medical Association —</w:t>
      </w:r>
      <w:r>
        <w:rPr>
          <w:rFonts w:ascii="Liberation Sans" w:hAnsi="Liberation Sans" w:eastAsia="Liberation Sans"/>
        </w:rPr>
        <w:t xml:space="preserve"> </w:t>
      </w:r>
      <w:r>
        <w:rPr>
          <w:rFonts w:ascii="Liberation Sans" w:hAnsi="Liberation Sans" w:eastAsia="Liberation Sans"/>
          <w:b/>
          <w:bCs/>
        </w:rPr>
        <w:t xml:space="preserve">High professional-ethics relevance; standard setting rather than discipline</w:t>
      </w:r>
    </w:p>
    <w:p>
      <w:pPr>
        <w:pStyle w:val="FirstParagraph"/>
      </w:pPr>
      <w:r>
        <w:rPr>
          <w:rFonts w:ascii="Liberation Sans" w:hAnsi="Liberation Sans" w:eastAsia="Liberation Sans"/>
        </w:rPr>
        <w:t xml:space="preserve">The WMA International Code of Medical Ethics provides global professional norms, including the duty to ensure accurate and timely medical documentation.</w:t>
      </w:r>
      <w:r>
        <w:rPr>
          <w:rStyle w:val="FootnoteReference"/>
          <w:rFonts w:ascii="Liberation Sans" w:hAnsi="Liberation Sans" w:eastAsia="Liberation Sans"/>
        </w:rPr>
        <w:footnoteReference w:id="125"/>
      </w:r>
      <w:r>
        <w:rPr>
          <w:rFonts w:ascii="Liberation Sans" w:hAnsi="Liberation Sans" w:eastAsia="Liberation Sans"/>
        </w:rPr>
        <w:t xml:space="preserve"> </w:t>
      </w:r>
      <w:r>
        <w:rPr>
          <w:rFonts w:ascii="Liberation Sans" w:hAnsi="Liberation Sans" w:eastAsia="Liberation Sans"/>
        </w:rPr>
        <w:t xml:space="preserve">The WMA is therefore a natural audience for a general proposition about the prospective ethical obligations of authoritative records. It is not a replacement for the Irish Medical Council.</w:t>
      </w:r>
    </w:p>
    <w:bookmarkEnd w:id="126"/>
    <w:bookmarkStart w:id="128" w:name="X6d685161f346de92772336c6ed67970e2b174de"/>
    <w:p>
      <w:pPr>
        <w:pStyle w:val="Heading2"/>
        <w:keepNext/>
      </w:pPr>
      <w:r>
        <w:rPr>
          <w:rFonts w:ascii="Liberation Sans" w:hAnsi="Liberation Sans" w:eastAsia="Liberation Sans"/>
        </w:rPr>
        <w:t xml:space="preserve">UNESCO bioethics structures —</w:t>
      </w:r>
      <w:r>
        <w:rPr>
          <w:rFonts w:ascii="Liberation Sans" w:hAnsi="Liberation Sans" w:eastAsia="Liberation Sans"/>
        </w:rPr>
        <w:t xml:space="preserve"> </w:t>
      </w:r>
      <w:r>
        <w:rPr>
          <w:rFonts w:ascii="Liberation Sans" w:hAnsi="Liberation Sans" w:eastAsia="Liberation Sans"/>
          <w:b/>
          <w:bCs/>
        </w:rPr>
        <w:t xml:space="preserve">Medium–High normative relevance</w:t>
      </w:r>
    </w:p>
    <w:p>
      <w:pPr>
        <w:pStyle w:val="FirstParagraph"/>
      </w:pPr>
      <w:r>
        <w:rPr>
          <w:rFonts w:ascii="Liberation Sans" w:hAnsi="Liberation Sans" w:eastAsia="Liberation Sans"/>
        </w:rPr>
        <w:t xml:space="preserve">UNESCO’s Universal Declaration on Bioethics and Human Rights anchors bioethical principles in dignity, human rights and fundamental freedoms and serves a global standard-setting and deliberative function.</w:t>
      </w:r>
      <w:r>
        <w:rPr>
          <w:rStyle w:val="FootnoteReference"/>
          <w:rFonts w:ascii="Liberation Sans" w:hAnsi="Liberation Sans" w:eastAsia="Liberation Sans"/>
        </w:rPr>
        <w:footnoteReference w:id="127"/>
      </w:r>
      <w:r>
        <w:rPr>
          <w:rFonts w:ascii="Liberation Sans" w:hAnsi="Liberation Sans" w:eastAsia="Liberation Sans"/>
        </w:rPr>
        <w:t xml:space="preserve"> </w:t>
      </w:r>
      <w:r>
        <w:rPr>
          <w:rFonts w:ascii="Liberation Sans" w:hAnsi="Liberation Sans" w:eastAsia="Liberation Sans"/>
        </w:rPr>
        <w:t xml:space="preserve">UNESCO bioethics structures, including the International Bioethics Committee where appropriate, could recognise the mechanism as a question about participation, vulnerability, professional authority and the information infrastructure of medicine. They do not adjudicate the historical Irish case.</w:t>
      </w:r>
    </w:p>
    <w:bookmarkEnd w:id="128"/>
    <w:bookmarkStart w:id="130" w:name="X28b5497196abc8be946ec0292da93da1e35ef06"/>
    <w:p>
      <w:pPr>
        <w:pStyle w:val="Heading2"/>
        <w:keepNext/>
      </w:pPr>
      <w:r>
        <w:rPr>
          <w:rFonts w:ascii="Liberation Sans" w:hAnsi="Liberation Sans" w:eastAsia="Liberation Sans"/>
        </w:rPr>
        <w:t xml:space="preserve">ISQua —</w:t>
      </w:r>
      <w:r>
        <w:rPr>
          <w:rFonts w:ascii="Liberation Sans" w:hAnsi="Liberation Sans" w:eastAsia="Liberation Sans"/>
        </w:rPr>
        <w:t xml:space="preserve"> </w:t>
      </w:r>
      <w:r>
        <w:rPr>
          <w:rFonts w:ascii="Liberation Sans" w:hAnsi="Liberation Sans" w:eastAsia="Liberation Sans"/>
          <w:b/>
          <w:bCs/>
        </w:rPr>
        <w:t xml:space="preserve">High quality-and-safety community relevance</w:t>
      </w:r>
    </w:p>
    <w:p>
      <w:pPr>
        <w:pStyle w:val="FirstParagraph"/>
      </w:pPr>
      <w:r>
        <w:rPr>
          <w:rFonts w:ascii="Liberation Sans" w:hAnsi="Liberation Sans" w:eastAsia="Liberation Sans"/>
        </w:rPr>
        <w:t xml:space="preserve">The International Society for Quality in Health Care (ISQua), headquartered in Dublin, describes itself as a global not-for-profit community bringing together clinicians, executives, policymakers, regulators and patient advocates to improve safety and quality through education, knowledge sharing, external evaluation and networks.</w:t>
      </w:r>
      <w:r>
        <w:rPr>
          <w:rStyle w:val="FootnoteReference"/>
          <w:rFonts w:ascii="Liberation Sans" w:hAnsi="Liberation Sans" w:eastAsia="Liberation Sans"/>
        </w:rPr>
        <w:footnoteReference w:id="129"/>
      </w:r>
    </w:p>
    <w:p>
      <w:pPr>
        <w:pStyle w:val="BodyText"/>
        <w:widowControl/>
      </w:pPr>
      <w:r>
        <w:rPr>
          <w:rFonts w:ascii="Liberation Sans" w:hAnsi="Liberation Sans" w:eastAsia="Liberation Sans"/>
        </w:rPr>
        <w:t xml:space="preserve">The mechanism is a strong fit for quality/safety scholarship because it is testable as a system failure mode:</w:t>
      </w:r>
      <w:r>
        <w:rPr>
          <w:rFonts w:ascii="Liberation Sans" w:hAnsi="Liberation Sans" w:eastAsia="Liberation Sans"/>
        </w:rPr>
        <w:t xml:space="preserve"> </w:t>
      </w:r>
      <w:r>
        <w:rPr>
          <w:rFonts w:ascii="Liberation Sans" w:hAnsi="Liberation Sans" w:eastAsia="Liberation Sans"/>
          <w:b/>
          <w:bCs/>
        </w:rPr>
        <w:t xml:space="preserve">does an authoritative information state create later non-independent evidence and make double-loop correction less likely?</w:t>
      </w:r>
      <w:r>
        <w:rPr>
          <w:rFonts w:ascii="Liberation Sans" w:hAnsi="Liberation Sans" w:eastAsia="Liberation Sans"/>
        </w:rPr>
        <w:t xml:space="preserve"> </w:t>
      </w:r>
      <w:r>
        <w:rPr>
          <w:rFonts w:ascii="Liberation Sans" w:hAnsi="Liberation Sans" w:eastAsia="Liberation Sans"/>
        </w:rPr>
        <w:t xml:space="preserve">That can be studied without deciding the individual clinician’s culpability.</w:t>
      </w:r>
    </w:p>
    <w:bookmarkEnd w:id="130"/>
    <w:bookmarkStart w:id="131" w:name="Xc769c4a68509c6be3d1a9826b49051c8ac723b1"/>
    <w:p>
      <w:pPr>
        <w:pStyle w:val="Heading2"/>
        <w:keepNext/>
      </w:pPr>
      <w:r>
        <w:rPr>
          <w:rFonts w:ascii="Liberation Sans" w:hAnsi="Liberation Sans" w:eastAsia="Liberation Sans"/>
        </w:rPr>
        <w:t xml:space="preserve">Diagnostic-safety community —</w:t>
      </w:r>
      <w:r>
        <w:rPr>
          <w:rFonts w:ascii="Liberation Sans" w:hAnsi="Liberation Sans" w:eastAsia="Liberation Sans"/>
        </w:rPr>
        <w:t xml:space="preserve"> </w:t>
      </w:r>
      <w:r>
        <w:rPr>
          <w:rFonts w:ascii="Liberation Sans" w:hAnsi="Liberation Sans" w:eastAsia="Liberation Sans"/>
          <w:b/>
          <w:bCs/>
        </w:rPr>
        <w:t xml:space="preserve">High research relevance</w:t>
      </w:r>
    </w:p>
    <w:p>
      <w:pPr>
        <w:pStyle w:val="FirstParagraph"/>
      </w:pPr>
      <w:r>
        <w:rPr>
          <w:rFonts w:ascii="Liberation Sans" w:hAnsi="Liberation Sans" w:eastAsia="Liberation Sans"/>
        </w:rPr>
        <w:t xml:space="preserve">Organisations and researchers focused on diagnostic excellence, diagnostic error and diagnostic safety should care because the proposed mechanism is not ordinary anchoring alone. It describes the</w:t>
      </w:r>
      <w:r>
        <w:rPr>
          <w:rFonts w:ascii="Liberation Sans" w:hAnsi="Liberation Sans" w:eastAsia="Liberation Sans"/>
        </w:rPr>
        <w:t xml:space="preserve"> </w:t>
      </w:r>
      <w:r>
        <w:rPr>
          <w:rFonts w:ascii="Liberation Sans" w:hAnsi="Liberation Sans" w:eastAsia="Liberation Sans"/>
          <w:b/>
          <w:bCs/>
        </w:rPr>
        <w:t xml:space="preserve">transmission medium</w:t>
      </w:r>
      <w:r>
        <w:rPr>
          <w:rFonts w:ascii="Liberation Sans" w:hAnsi="Liberation Sans" w:eastAsia="Liberation Sans"/>
        </w:rPr>
        <w:t xml:space="preserve"> </w:t>
      </w:r>
      <w:r>
        <w:rPr>
          <w:rFonts w:ascii="Liberation Sans" w:hAnsi="Liberation Sans" w:eastAsia="Liberation Sans"/>
        </w:rPr>
        <w:t xml:space="preserve">by which a diagnostic partition acquires portability and survives local corrections. This suggests testable interventions: uncertainty tagging, provenance display, patient dissent capture, forced causal-map review after specified contradictions, and independent evidence classification.</w:t>
      </w:r>
    </w:p>
    <w:bookmarkEnd w:id="131"/>
    <w:bookmarkStart w:id="133" w:name="X51a7e7e270db6cabb49606dc33914b7d5c705f1"/>
    <w:p>
      <w:pPr>
        <w:pStyle w:val="Heading2"/>
        <w:keepNext/>
      </w:pPr>
      <w:r>
        <w:rPr>
          <w:rFonts w:ascii="Liberation Sans" w:hAnsi="Liberation Sans" w:eastAsia="Liberation Sans"/>
        </w:rPr>
        <w:t xml:space="preserve">Health informatics —</w:t>
      </w:r>
      <w:r>
        <w:rPr>
          <w:rFonts w:ascii="Liberation Sans" w:hAnsi="Liberation Sans" w:eastAsia="Liberation Sans"/>
        </w:rPr>
        <w:t xml:space="preserve"> </w:t>
      </w:r>
      <w:r>
        <w:rPr>
          <w:rFonts w:ascii="Liberation Sans" w:hAnsi="Liberation Sans" w:eastAsia="Liberation Sans"/>
          <w:b/>
          <w:bCs/>
        </w:rPr>
        <w:t xml:space="preserve">High research and standards relevance</w:t>
      </w:r>
    </w:p>
    <w:p>
      <w:pPr>
        <w:pStyle w:val="FirstParagraph"/>
      </w:pPr>
      <w:r>
        <w:rPr>
          <w:rFonts w:ascii="Liberation Sans" w:hAnsi="Liberation Sans" w:eastAsia="Liberation Sans"/>
        </w:rPr>
        <w:t xml:space="preserve">IMIA, AMIA, EFMI and related communities are relevant because the mechanism concerns how information structures affect future clinical cognition. Copy-forward research already shows the importance of provenance and identifiable reused content.</w:t>
      </w:r>
      <w:r>
        <w:rPr>
          <w:rStyle w:val="FootnoteReference"/>
          <w:rFonts w:ascii="Liberation Sans" w:hAnsi="Liberation Sans" w:eastAsia="Liberation Sans"/>
        </w:rPr>
        <w:footnoteReference w:id="132"/>
      </w:r>
      <w:r>
        <w:rPr>
          <w:rFonts w:ascii="Liberation Sans" w:hAnsi="Liberation Sans" w:eastAsia="Liberation Sans"/>
        </w:rPr>
        <w:t xml:space="preserve"> </w:t>
      </w:r>
      <w:r>
        <w:rPr>
          <w:rFonts w:ascii="Liberation Sans" w:hAnsi="Liberation Sans" w:eastAsia="Liberation Sans"/>
        </w:rPr>
        <w:t xml:space="preserve">In a future interoperable digital health system, architecture that obscures provenance or the difference between observation, patient report and inherited interpretation can scale the problem.</w:t>
      </w:r>
    </w:p>
    <w:bookmarkEnd w:id="133"/>
    <w:bookmarkStart w:id="134" w:name="Xb1e60c44860f5e40abb01414dbae35a46f08e0c"/>
    <w:p>
      <w:pPr>
        <w:pStyle w:val="Heading2"/>
        <w:keepNext/>
      </w:pPr>
      <w:r>
        <w:rPr>
          <w:rFonts w:ascii="Liberation Sans" w:hAnsi="Liberation Sans" w:eastAsia="Liberation Sans"/>
        </w:rPr>
        <w:t xml:space="preserve">Bioethics and philosophy of medicine —</w:t>
      </w:r>
      <w:r>
        <w:rPr>
          <w:rFonts w:ascii="Liberation Sans" w:hAnsi="Liberation Sans" w:eastAsia="Liberation Sans"/>
        </w:rPr>
        <w:t xml:space="preserve"> </w:t>
      </w:r>
      <w:r>
        <w:rPr>
          <w:rFonts w:ascii="Liberation Sans" w:hAnsi="Liberation Sans" w:eastAsia="Liberation Sans"/>
          <w:b/>
          <w:bCs/>
        </w:rPr>
        <w:t xml:space="preserve">High conceptual relevance</w:t>
      </w:r>
    </w:p>
    <w:p>
      <w:pPr>
        <w:pStyle w:val="FirstParagraph"/>
      </w:pPr>
      <w:r>
        <w:rPr>
          <w:rFonts w:ascii="Liberation Sans" w:hAnsi="Liberation Sans" w:eastAsia="Liberation Sans"/>
        </w:rPr>
        <w:t xml:space="preserve">The strongest academic audiences include epistemic-injustice scholars, philosophy-of-medicine researchers, clinical ethicists and sociology-of-medicine researchers. The mechanism combines testimonial credibility, hermeneutical framing, professional authority, documentary ontology and organisational learning in a single longitudinal model.</w:t>
      </w:r>
    </w:p>
    <w:bookmarkEnd w:id="134"/>
    <w:bookmarkStart w:id="135" w:name="journals-and-scholarly-audiences"/>
    <w:p>
      <w:pPr>
        <w:pStyle w:val="Heading2"/>
        <w:keepNext/>
      </w:pPr>
      <w:r>
        <w:rPr>
          <w:rFonts w:ascii="Liberation Sans" w:hAnsi="Liberation Sans" w:eastAsia="Liberation Sans"/>
        </w:rPr>
        <w:t xml:space="preserve">Journals and scholarly audiences</w:t>
      </w:r>
    </w:p>
    <w:p>
      <w:pPr>
        <w:pStyle w:val="FirstParagraph"/>
      </w:pPr>
      <w:r>
        <w:rPr>
          <w:rFonts w:ascii="Liberation Sans" w:hAnsi="Liberation Sans" w:eastAsia="Liberation Sans"/>
        </w:rPr>
        <w:t xml:space="preserve">Priority journal families, depending on the final method and evidence, include:</w:t>
      </w:r>
    </w:p>
    <w:p>
      <w:pPr>
        <w:pStyle w:val="Compact"/>
        <w:numPr>
          <w:ilvl w:val="0"/>
          <w:numId w:val="1007"/>
        </w:numPr>
      </w:pPr>
      <w:r>
        <w:rPr>
          <w:rFonts w:ascii="Liberation Sans" w:hAnsi="Liberation Sans" w:eastAsia="Liberation Sans"/>
          <w:b/>
          <w:bCs/>
        </w:rPr>
        <w:t xml:space="preserve">medical ethics / philosophy:</w:t>
      </w:r>
      <w:r>
        <w:rPr>
          <w:rFonts w:ascii="Liberation Sans" w:hAnsi="Liberation Sans" w:eastAsia="Liberation Sans"/>
        </w:rPr>
        <w:t xml:space="preserve"> </w:t>
      </w:r>
      <w:r>
        <w:rPr>
          <w:rFonts w:ascii="Liberation Sans" w:hAnsi="Liberation Sans" w:eastAsia="Liberation Sans"/>
          <w:i/>
          <w:iCs/>
        </w:rPr>
        <w:t xml:space="preserve">Journal of Medical Ethics</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i/>
          <w:iCs/>
        </w:rPr>
        <w:t xml:space="preserve">Bioethics</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i/>
          <w:iCs/>
        </w:rPr>
        <w:t xml:space="preserve">Medicine, Health Care and Philosophy</w:t>
      </w:r>
      <w:r>
        <w:rPr>
          <w:rFonts w:ascii="Liberation Sans" w:hAnsi="Liberation Sans" w:eastAsia="Liberation Sans"/>
        </w:rPr>
        <w:t xml:space="preserve">;</w:t>
      </w:r>
    </w:p>
    <w:p>
      <w:pPr>
        <w:pStyle w:val="Compact"/>
        <w:numPr>
          <w:ilvl w:val="0"/>
          <w:numId w:val="1007"/>
        </w:numPr>
      </w:pPr>
      <w:r>
        <w:rPr>
          <w:rFonts w:ascii="Liberation Sans" w:hAnsi="Liberation Sans" w:eastAsia="Liberation Sans"/>
          <w:b/>
          <w:bCs/>
        </w:rPr>
        <w:t xml:space="preserve">patient safety / quality:</w:t>
      </w:r>
      <w:r>
        <w:rPr>
          <w:rFonts w:ascii="Liberation Sans" w:hAnsi="Liberation Sans" w:eastAsia="Liberation Sans"/>
        </w:rPr>
        <w:t xml:space="preserve"> </w:t>
      </w:r>
      <w:r>
        <w:rPr>
          <w:rFonts w:ascii="Liberation Sans" w:hAnsi="Liberation Sans" w:eastAsia="Liberation Sans"/>
          <w:i/>
          <w:iCs/>
        </w:rPr>
        <w:t xml:space="preserve">BMJ Quality &amp; Safety</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i/>
          <w:iCs/>
        </w:rPr>
        <w:t xml:space="preserve">International Journal for Quality in Health Care</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i/>
          <w:iCs/>
        </w:rPr>
        <w:t xml:space="preserve">Journal of Patient Safety</w:t>
      </w:r>
      <w:r>
        <w:rPr>
          <w:rFonts w:ascii="Liberation Sans" w:hAnsi="Liberation Sans" w:eastAsia="Liberation Sans"/>
        </w:rPr>
        <w:t xml:space="preserve">;</w:t>
      </w:r>
    </w:p>
    <w:p>
      <w:pPr>
        <w:pStyle w:val="Compact"/>
        <w:numPr>
          <w:ilvl w:val="0"/>
          <w:numId w:val="1007"/>
        </w:numPr>
      </w:pPr>
      <w:r>
        <w:rPr>
          <w:rFonts w:ascii="Liberation Sans" w:hAnsi="Liberation Sans" w:eastAsia="Liberation Sans"/>
          <w:b/>
          <w:bCs/>
        </w:rPr>
        <w:t xml:space="preserve">diagnostic safety:</w:t>
      </w:r>
      <w:r>
        <w:rPr>
          <w:rFonts w:ascii="Liberation Sans" w:hAnsi="Liberation Sans" w:eastAsia="Liberation Sans"/>
        </w:rPr>
        <w:t xml:space="preserve"> </w:t>
      </w:r>
      <w:r>
        <w:rPr>
          <w:rFonts w:ascii="Liberation Sans" w:hAnsi="Liberation Sans" w:eastAsia="Liberation Sans"/>
          <w:i/>
          <w:iCs/>
        </w:rPr>
        <w:t xml:space="preserve">Diagnosis</w:t>
      </w:r>
      <w:r>
        <w:rPr>
          <w:rFonts w:ascii="Liberation Sans" w:hAnsi="Liberation Sans" w:eastAsia="Liberation Sans"/>
        </w:rPr>
        <w:t xml:space="preserve"> </w:t>
      </w:r>
      <w:r>
        <w:rPr>
          <w:rFonts w:ascii="Liberation Sans" w:hAnsi="Liberation Sans" w:eastAsia="Liberation Sans"/>
        </w:rPr>
        <w:t xml:space="preserve">and diagnostic-excellence research communities;</w:t>
      </w:r>
    </w:p>
    <w:p>
      <w:pPr>
        <w:pStyle w:val="Compact"/>
        <w:numPr>
          <w:ilvl w:val="0"/>
          <w:numId w:val="1007"/>
        </w:numPr>
      </w:pPr>
      <w:r>
        <w:rPr>
          <w:rFonts w:ascii="Liberation Sans" w:hAnsi="Liberation Sans" w:eastAsia="Liberation Sans"/>
          <w:b/>
          <w:bCs/>
        </w:rPr>
        <w:t xml:space="preserve">health informatics:</w:t>
      </w:r>
      <w:r>
        <w:rPr>
          <w:rFonts w:ascii="Liberation Sans" w:hAnsi="Liberation Sans" w:eastAsia="Liberation Sans"/>
        </w:rPr>
        <w:t xml:space="preserve"> </w:t>
      </w:r>
      <w:r>
        <w:rPr>
          <w:rFonts w:ascii="Liberation Sans" w:hAnsi="Liberation Sans" w:eastAsia="Liberation Sans"/>
          <w:i/>
          <w:iCs/>
        </w:rPr>
        <w:t xml:space="preserve">Journal of the American Medical Informatics Association</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i/>
          <w:iCs/>
        </w:rPr>
        <w:t xml:space="preserve">International Journal of Medical Informatics</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i/>
          <w:iCs/>
        </w:rPr>
        <w:t xml:space="preserve">Applied Clinical Informatics</w:t>
      </w:r>
      <w:r>
        <w:rPr>
          <w:rFonts w:ascii="Liberation Sans" w:hAnsi="Liberation Sans" w:eastAsia="Liberation Sans"/>
        </w:rPr>
        <w:t xml:space="preserve">;</w:t>
      </w:r>
    </w:p>
    <w:p>
      <w:pPr>
        <w:pStyle w:val="Compact"/>
        <w:numPr>
          <w:ilvl w:val="0"/>
          <w:numId w:val="1007"/>
        </w:numPr>
      </w:pPr>
      <w:r>
        <w:rPr>
          <w:rFonts w:ascii="Liberation Sans" w:hAnsi="Liberation Sans" w:eastAsia="Liberation Sans"/>
          <w:b/>
          <w:bCs/>
        </w:rPr>
        <w:t xml:space="preserve">health services / sociology:</w:t>
      </w:r>
      <w:r>
        <w:rPr>
          <w:rFonts w:ascii="Liberation Sans" w:hAnsi="Liberation Sans" w:eastAsia="Liberation Sans"/>
        </w:rPr>
        <w:t xml:space="preserve"> </w:t>
      </w:r>
      <w:r>
        <w:rPr>
          <w:rFonts w:ascii="Liberation Sans" w:hAnsi="Liberation Sans" w:eastAsia="Liberation Sans"/>
          <w:i/>
          <w:iCs/>
        </w:rPr>
        <w:t xml:space="preserve">Social Science &amp; Medicine</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i/>
          <w:iCs/>
        </w:rPr>
        <w:t xml:space="preserve">Sociology of Health &amp; Illness</w:t>
      </w:r>
      <w:r>
        <w:rPr>
          <w:rFonts w:ascii="Liberation Sans" w:hAnsi="Liberation Sans" w:eastAsia="Liberation Sans"/>
        </w:rPr>
        <w:t xml:space="preserve"> </w:t>
      </w:r>
      <w:r>
        <w:rPr>
          <w:rFonts w:ascii="Liberation Sans" w:hAnsi="Liberation Sans" w:eastAsia="Liberation Sans"/>
        </w:rPr>
        <w:t xml:space="preserve">where the empirical method supports a sociological contribution.</w:t>
      </w:r>
    </w:p>
    <w:p>
      <w:pPr>
        <w:pStyle w:val="FirstParagraph"/>
      </w:pPr>
      <w:r>
        <w:rPr>
          <w:rFonts w:ascii="Liberation Sans" w:hAnsi="Liberation Sans" w:eastAsia="Liberation Sans"/>
        </w:rPr>
        <w:t xml:space="preserve">A live individual complaint dossier is not a journal manuscript. Scholarly publication would require privacy/consent governance, a clear method, disciplined evidential status, competing explanations and a generalisable contribution.</w:t>
      </w:r>
    </w:p>
    <w:bookmarkEnd w:id="135"/>
    <w:bookmarkEnd w:id="136"/>
    <w:bookmarkStart w:id="144" w:name="X0ccf8a869d39eac6740f7c80930905993c5c592"/>
    <w:p>
      <w:pPr>
        <w:pStyle w:val="Heading1"/>
        <w:keepNext/>
      </w:pPr>
      <w:r>
        <w:rPr>
          <w:rFonts w:ascii="Liberation Sans" w:hAnsi="Liberation Sans" w:eastAsia="Liberation Sans"/>
        </w:rPr>
        <w:t xml:space="preserve">Part X — Concepts and their relation to existing literature</w:t>
      </w:r>
    </w:p>
    <w:bookmarkStart w:id="137" w:name="concept-assessment"/>
    <w:p>
      <w:pPr>
        <w:pStyle w:val="Heading2"/>
        <w:keepNext/>
      </w:pPr>
      <w:r>
        <w:rPr>
          <w:rFonts w:ascii="Liberation Sans" w:hAnsi="Liberation Sans" w:eastAsia="Liberation Sans"/>
        </w:rPr>
        <w:t xml:space="preserve">Concept assessment</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640"/>
        <w:gridCol w:w="2640"/>
        <w:gridCol w:w="2640"/>
      </w:tblGrid>
      <w:tr>
        <w:trPr>
          <w:tblHeader w:val="on"/>
          <w:tblHeader w:val="true"/>
          <w:cantSplit/>
        </w:trPr>
        <w:tc>
          <w:tcPr>
            <w:vAlign w:val="center"/>
            <w:tcMar>
              <w:top w:w="80" w:type="dxa"/>
              <w:start w:w="85" w:type="dxa"/>
              <w:bottom w:w="80" w:type="dxa"/>
              <w:end w:w="85" w:type="dxa"/>
            </w:tcMar>
            <w:tcW w:type="dxa" w:w="2232"/>
            <w:shd w:fill="E9EDF2"/>
          </w:tcPr>
          <w:p>
            <w:pPr>
              <w:pStyle w:val="Compact"/>
              <w:spacing w:before="0" w:after="50" w:line="240" w:lineRule="auto"/>
              <w:jc w:val="left"/>
            </w:pPr>
            <w:r>
              <w:rPr>
                <w:rFonts w:ascii="Liberation Sans" w:hAnsi="Liberation Sans" w:eastAsia="Liberation Sans"/>
                <w:b/>
                <w:sz w:val="16"/>
              </w:rPr>
              <w:t xml:space="preserve">Proposed concept</w:t>
            </w:r>
          </w:p>
        </w:tc>
        <w:tc>
          <w:tcPr>
            <w:vAlign w:val="center"/>
            <w:tcMar>
              <w:top w:w="80" w:type="dxa"/>
              <w:start w:w="85" w:type="dxa"/>
              <w:bottom w:w="80" w:type="dxa"/>
              <w:end w:w="85" w:type="dxa"/>
            </w:tcMar>
            <w:tcW w:type="dxa" w:w="3960"/>
            <w:shd w:fill="E9EDF2"/>
          </w:tcPr>
          <w:p>
            <w:pPr>
              <w:pStyle w:val="Compact"/>
              <w:spacing w:before="0" w:after="50" w:line="240" w:lineRule="auto"/>
              <w:jc w:val="left"/>
            </w:pPr>
            <w:r>
              <w:rPr>
                <w:rFonts w:ascii="Liberation Sans" w:hAnsi="Liberation Sans" w:eastAsia="Liberation Sans"/>
                <w:b/>
                <w:sz w:val="16"/>
              </w:rPr>
              <w:t xml:space="preserve">Closest analogue(s)</w:t>
            </w:r>
          </w:p>
        </w:tc>
        <w:tc>
          <w:tcPr>
            <w:vAlign w:val="center"/>
            <w:tcMar>
              <w:top w:w="80" w:type="dxa"/>
              <w:start w:w="85" w:type="dxa"/>
              <w:bottom w:w="80" w:type="dxa"/>
              <w:end w:w="85" w:type="dxa"/>
            </w:tcMar>
            <w:tcW w:type="dxa" w:w="3240"/>
            <w:shd w:fill="E9EDF2"/>
          </w:tcPr>
          <w:p>
            <w:pPr>
              <w:pStyle w:val="Compact"/>
              <w:spacing w:before="0" w:after="50" w:line="240" w:lineRule="auto"/>
              <w:jc w:val="left"/>
            </w:pPr>
            <w:r>
              <w:rPr>
                <w:rFonts w:ascii="Liberation Sans" w:hAnsi="Liberation Sans" w:eastAsia="Liberation Sans"/>
                <w:b/>
                <w:sz w:val="16"/>
              </w:rPr>
              <w:t xml:space="preserve">Assessment</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Portable apparent knowledge</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Diagnostic momentum; chart lore; copied/inherited labels; specialist handover authority</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Useful synthesis.</w:t>
            </w:r>
            <w:r>
              <w:rPr>
                <w:rFonts w:ascii="Liberation Sans" w:hAnsi="Liberation Sans" w:eastAsia="Liberation Sans"/>
                <w:sz w:val="16"/>
              </w:rPr>
              <w:t xml:space="preserve"> </w:t>
            </w:r>
            <w:r>
              <w:rPr>
                <w:rFonts w:ascii="Liberation Sans" w:hAnsi="Liberation Sans" w:eastAsia="Liberation Sans"/>
                <w:sz w:val="16"/>
              </w:rPr>
              <w:t xml:space="preserve">Captures the conversion of unresolved status into portable apparent completion, not just label persistence.</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Misrepresentation of epistemic status</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Ethics of uncertainty; professional honesty; uncertainty communication</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Strong, precise concept.</w:t>
            </w:r>
            <w:r>
              <w:rPr>
                <w:rFonts w:ascii="Liberation Sans" w:hAnsi="Liberation Sans" w:eastAsia="Liberation Sans"/>
                <w:sz w:val="16"/>
              </w:rPr>
              <w:t xml:space="preserve"> </w:t>
            </w:r>
            <w:r>
              <w:rPr>
                <w:rFonts w:ascii="Liberation Sans" w:hAnsi="Liberation Sans" w:eastAsia="Liberation Sans"/>
                <w:sz w:val="16"/>
              </w:rPr>
              <w:t xml:space="preserve">Particularly useful because it distinguishes wrong diagnosis from wrong representation of how much is known.</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Documentary microconstruction</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Framing; linguistic bias; record sociology; problem representation</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Useful extension.</w:t>
            </w:r>
            <w:r>
              <w:rPr>
                <w:rFonts w:ascii="Liberation Sans" w:hAnsi="Liberation Sans" w:eastAsia="Liberation Sans"/>
                <w:sz w:val="16"/>
              </w:rPr>
              <w:t xml:space="preserve"> </w:t>
            </w:r>
            <w:r>
              <w:rPr>
                <w:rFonts w:ascii="Liberation Sans" w:hAnsi="Liberation Sans" w:eastAsia="Liberation Sans"/>
                <w:sz w:val="16"/>
              </w:rPr>
              <w:t xml:space="preserve">Gives a name to small semantic moves that collectively change the clinical object.</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Asymmetric explanatory futures</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Differential weighting; framing; selective hypothesis preservation</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Potentially distinctive and useful.</w:t>
            </w:r>
            <w:r>
              <w:rPr>
                <w:rFonts w:ascii="Liberation Sans" w:hAnsi="Liberation Sans" w:eastAsia="Liberation Sans"/>
                <w:sz w:val="16"/>
              </w:rPr>
              <w:t xml:space="preserve"> </w:t>
            </w:r>
            <w:r>
              <w:rPr>
                <w:rFonts w:ascii="Liberation Sans" w:hAnsi="Liberation Sans" w:eastAsia="Liberation Sans"/>
                <w:sz w:val="16"/>
              </w:rPr>
              <w:t xml:space="preserve">Focuses on unequal future infrastructure rather than unequal present attention.</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Constrained corrigibility</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Anchoring; diagnostic momentum; path dependence; belief perseverance; single-loop vs double-loop learning</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Especially useful extension.</w:t>
            </w:r>
            <w:r>
              <w:rPr>
                <w:rFonts w:ascii="Liberation Sans" w:hAnsi="Liberation Sans" w:eastAsia="Liberation Sans"/>
                <w:sz w:val="16"/>
              </w:rPr>
              <w:t xml:space="preserve"> </w:t>
            </w:r>
            <w:r>
              <w:rPr>
                <w:rFonts w:ascii="Liberation Sans" w:hAnsi="Liberation Sans" w:eastAsia="Liberation Sans"/>
                <w:sz w:val="16"/>
              </w:rPr>
              <w:t xml:space="preserve">Makes local adaptability compatible with global resistance and suggests measurable tests.</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Documentary descendants</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Copy-forward; propagated error; non-independent observations</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Useful operational term.</w:t>
            </w:r>
            <w:r>
              <w:rPr>
                <w:rFonts w:ascii="Liberation Sans" w:hAnsi="Liberation Sans" w:eastAsia="Liberation Sans"/>
                <w:sz w:val="16"/>
              </w:rPr>
              <w:t xml:space="preserve"> </w:t>
            </w:r>
            <w:r>
              <w:rPr>
                <w:rFonts w:ascii="Liberation Sans" w:hAnsi="Liberation Sans" w:eastAsia="Liberation Sans"/>
                <w:sz w:val="16"/>
              </w:rPr>
              <w:t xml:space="preserve">Makes evidential dependence visible in longitudinal review.</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Endogenous clinical validation</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Incorporation bias; self-confirming systems; endogenous evidence; path dependence</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Strong synthesis.</w:t>
            </w:r>
            <w:r>
              <w:rPr>
                <w:rFonts w:ascii="Liberation Sans" w:hAnsi="Liberation Sans" w:eastAsia="Liberation Sans"/>
                <w:sz w:val="16"/>
              </w:rPr>
              <w:t xml:space="preserve"> </w:t>
            </w:r>
            <w:r>
              <w:rPr>
                <w:rFonts w:ascii="Liberation Sans" w:hAnsi="Liberation Sans" w:eastAsia="Liberation Sans"/>
                <w:sz w:val="16"/>
              </w:rPr>
              <w:t xml:space="preserve">Valuable if defined narrowly as a model partly producing the evidence later offered in its support.</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Loss of shared clinical intelligibility</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Hermeneutical injustice; continuity breakdown; narrative disruption</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Useful application.</w:t>
            </w:r>
            <w:r>
              <w:rPr>
                <w:rFonts w:ascii="Liberation Sans" w:hAnsi="Liberation Sans" w:eastAsia="Liberation Sans"/>
                <w:sz w:val="16"/>
              </w:rPr>
              <w:t xml:space="preserve"> </w:t>
            </w:r>
            <w:r>
              <w:rPr>
                <w:rFonts w:ascii="Liberation Sans" w:hAnsi="Liberation Sans" w:eastAsia="Liberation Sans"/>
                <w:sz w:val="16"/>
              </w:rPr>
              <w:t xml:space="preserve">Emphasises how inherited specialist framing can alter patient–GP mutual understanding.</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Epistemic warning-label removal</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Uncertainty communication; dissent documentation; provenance loss</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Useful metaphor with operational value.</w:t>
            </w:r>
            <w:r>
              <w:rPr>
                <w:rFonts w:ascii="Liberation Sans" w:hAnsi="Liberation Sans" w:eastAsia="Liberation Sans"/>
                <w:sz w:val="16"/>
              </w:rPr>
              <w:t xml:space="preserve"> </w:t>
            </w:r>
            <w:r>
              <w:rPr>
                <w:rFonts w:ascii="Liberation Sans" w:hAnsi="Liberation Sans" w:eastAsia="Liberation Sans"/>
                <w:sz w:val="16"/>
              </w:rPr>
              <w:t xml:space="preserve">Should remain descriptive, not a presumption of intent.</w:t>
            </w:r>
          </w:p>
        </w:tc>
      </w:tr>
      <w:tr>
        <w:trPr>
          <w:cantSplit/>
        </w:trPr>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Relational stewardship</w:t>
            </w:r>
          </w:p>
        </w:tc>
        <w:tc>
          <w:tcPr>
            <w:vAlign w:val="center"/>
            <w:tcW w:type="dxa" w:w="396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Diagnostic stewardship; continuity/ownership; coordination of care</w:t>
            </w:r>
          </w:p>
        </w:tc>
        <w:tc>
          <w:tcPr>
            <w:vAlign w:val="center"/>
            <w:tcW w:type="dxa" w:w="32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Promising extension.</w:t>
            </w:r>
            <w:r>
              <w:rPr>
                <w:rFonts w:ascii="Liberation Sans" w:hAnsi="Liberation Sans" w:eastAsia="Liberation Sans"/>
                <w:sz w:val="16"/>
              </w:rPr>
              <w:t xml:space="preserve"> </w:t>
            </w:r>
            <w:r>
              <w:rPr>
                <w:rFonts w:ascii="Liberation Sans" w:hAnsi="Liberation Sans" w:eastAsia="Liberation Sans"/>
                <w:sz w:val="16"/>
              </w:rPr>
              <w:t xml:space="preserve">Shifts responsibility from isolated symptoms to ownership of an unresolved relation between phenomena.</w:t>
            </w:r>
          </w:p>
        </w:tc>
      </w:tr>
    </w:tbl>
    <w:bookmarkEnd w:id="137"/>
    <w:bookmarkStart w:id="143" w:name="X21f798ba038edd7b1edf643032b87bda93c85df"/>
    <w:p>
      <w:pPr>
        <w:pStyle w:val="Heading2"/>
        <w:keepNext/>
      </w:pPr>
      <w:r>
        <w:rPr>
          <w:rFonts w:ascii="Liberation Sans" w:hAnsi="Liberation Sans" w:eastAsia="Liberation Sans"/>
        </w:rPr>
        <w:t xml:space="preserve">What can responsibly be claimed about novelty</w:t>
      </w:r>
    </w:p>
    <w:p>
      <w:pPr>
        <w:pStyle w:val="FirstParagraph"/>
      </w:pPr>
      <w:r>
        <w:rPr>
          <w:rFonts w:ascii="Liberation Sans" w:hAnsi="Liberation Sans" w:eastAsia="Liberation Sans"/>
        </w:rPr>
        <w:t xml:space="preserve">None of these terms should presently be advertised as unprecedented discoveries. Demonstrating novelty would require a systematic literature review across bioethics, philosophy of medicine, health informatics, sociology of health, diagnostic safety and organisational learning.</w:t>
      </w:r>
    </w:p>
    <w:p>
      <w:pPr>
        <w:pStyle w:val="BodyText"/>
        <w:widowControl/>
      </w:pPr>
      <w:r>
        <w:rPr>
          <w:rFonts w:ascii="Liberation Sans" w:hAnsi="Liberation Sans" w:eastAsia="Liberation Sans"/>
        </w:rPr>
        <w:t xml:space="preserve">What can already be said is narrower: several component mechanisms have strong analogues. Epistemic injustice addresses credibility and interpretive disadvantage.</w:t>
      </w:r>
      <w:r>
        <w:rPr>
          <w:rStyle w:val="FootnoteReference"/>
          <w:rFonts w:ascii="Liberation Sans" w:hAnsi="Liberation Sans" w:eastAsia="Liberation Sans"/>
        </w:rPr>
        <w:footnoteReference w:id="138"/>
      </w:r>
      <w:r>
        <w:rPr>
          <w:rFonts w:ascii="Liberation Sans" w:hAnsi="Liberation Sans" w:eastAsia="Liberation Sans"/>
        </w:rPr>
        <w:t xml:space="preserve"> </w:t>
      </w:r>
      <w:r>
        <w:rPr>
          <w:rFonts w:ascii="Liberation Sans" w:hAnsi="Liberation Sans" w:eastAsia="Liberation Sans"/>
        </w:rPr>
        <w:t xml:space="preserve">Medical-record sociology establishes the record as constitutive infrastructure.</w:t>
      </w:r>
      <w:r>
        <w:rPr>
          <w:rStyle w:val="FootnoteReference"/>
          <w:rFonts w:ascii="Liberation Sans" w:hAnsi="Liberation Sans" w:eastAsia="Liberation Sans"/>
        </w:rPr>
        <w:footnoteReference w:id="139"/>
      </w:r>
      <w:r>
        <w:rPr>
          <w:rFonts w:ascii="Liberation Sans" w:hAnsi="Liberation Sans" w:eastAsia="Liberation Sans"/>
        </w:rPr>
        <w:t xml:space="preserve"> </w:t>
      </w:r>
      <w:r>
        <w:rPr>
          <w:rFonts w:ascii="Liberation Sans" w:hAnsi="Liberation Sans" w:eastAsia="Liberation Sans"/>
        </w:rPr>
        <w:t xml:space="preserve">Note-language experiments demonstrate downstream behavioural effects.</w:t>
      </w:r>
      <w:r>
        <w:rPr>
          <w:rStyle w:val="FootnoteReference"/>
          <w:rFonts w:ascii="Liberation Sans" w:hAnsi="Liberation Sans" w:eastAsia="Liberation Sans"/>
        </w:rPr>
        <w:footnoteReference w:id="140"/>
      </w:r>
      <w:r>
        <w:rPr>
          <w:rFonts w:ascii="Liberation Sans" w:hAnsi="Liberation Sans" w:eastAsia="Liberation Sans"/>
        </w:rPr>
        <w:t xml:space="preserve"> </w:t>
      </w:r>
      <w:r>
        <w:rPr>
          <w:rFonts w:ascii="Liberation Sans" w:hAnsi="Liberation Sans" w:eastAsia="Liberation Sans"/>
        </w:rPr>
        <w:t xml:space="preserve">Copy-forward safety literature highlights provenance and error propagation.</w:t>
      </w:r>
      <w:r>
        <w:rPr>
          <w:rStyle w:val="FootnoteReference"/>
          <w:rFonts w:ascii="Liberation Sans" w:hAnsi="Liberation Sans" w:eastAsia="Liberation Sans"/>
        </w:rPr>
        <w:footnoteReference w:id="141"/>
      </w:r>
      <w:r>
        <w:rPr>
          <w:rFonts w:ascii="Liberation Sans" w:hAnsi="Liberation Sans" w:eastAsia="Liberation Sans"/>
        </w:rPr>
        <w:t xml:space="preserve"> </w:t>
      </w:r>
      <w:r>
        <w:rPr>
          <w:rFonts w:ascii="Liberation Sans" w:hAnsi="Liberation Sans" w:eastAsia="Liberation Sans"/>
        </w:rPr>
        <w:t xml:space="preserve">Organisational-learning literature distinguishes local/single-loop correction from deeper/double-loop change.</w:t>
      </w:r>
      <w:r>
        <w:rPr>
          <w:rStyle w:val="FootnoteReference"/>
          <w:rFonts w:ascii="Liberation Sans" w:hAnsi="Liberation Sans" w:eastAsia="Liberation Sans"/>
        </w:rPr>
        <w:footnoteReference w:id="142"/>
      </w:r>
    </w:p>
    <w:p>
      <w:pPr>
        <w:pStyle w:val="BodyText"/>
        <w:widowControl/>
      </w:pPr>
      <w:r>
        <w:rPr>
          <w:rFonts w:ascii="Liberation Sans" w:hAnsi="Liberation Sans" w:eastAsia="Liberation Sans"/>
        </w:rPr>
        <w:t xml:space="preserve">The proposed framework’s likely contribution is</w:t>
      </w:r>
      <w:r>
        <w:rPr>
          <w:rFonts w:ascii="Liberation Sans" w:hAnsi="Liberation Sans" w:eastAsia="Liberation Sans"/>
        </w:rPr>
        <w:t xml:space="preserve"> </w:t>
      </w:r>
      <w:r>
        <w:rPr>
          <w:rFonts w:ascii="Liberation Sans" w:hAnsi="Liberation Sans" w:eastAsia="Liberation Sans"/>
          <w:b/>
          <w:bCs/>
        </w:rPr>
        <w:t xml:space="preserve">integration</w:t>
      </w:r>
      <w:r>
        <w:rPr>
          <w:rFonts w:ascii="Liberation Sans" w:hAnsi="Liberation Sans" w:eastAsia="Liberation Sans"/>
        </w:rPr>
        <w:t xml:space="preserve">: it joins those literatures around one object—the authoritative clinical information state—and makes longitudinal evidence dependence a central ethical concern.</w:t>
      </w:r>
    </w:p>
    <w:bookmarkEnd w:id="143"/>
    <w:bookmarkEnd w:id="144"/>
    <w:bookmarkStart w:id="148" w:name="part-xi-institutional-interest-matrix"/>
    <w:p>
      <w:pPr>
        <w:pStyle w:val="Heading1"/>
        <w:keepNext/>
      </w:pPr>
      <w:r>
        <w:rPr>
          <w:rFonts w:ascii="Liberation Sans" w:hAnsi="Liberation Sans" w:eastAsia="Liberation Sans"/>
        </w:rPr>
        <w:t xml:space="preserve">Part XI — Institutional-interest matrix</w:t>
      </w:r>
    </w:p>
    <w:p>
      <w:pPr>
        <w:pStyle w:val="FirstParagraph"/>
      </w:pPr>
      <w:r>
        <w:rPr>
          <w:rFonts w:ascii="Liberation Sans" w:hAnsi="Liberation Sans" w:eastAsia="Liberation Sans"/>
        </w:rPr>
        <w:t xml:space="preserve">Priority is not a moral ranking. It reflects</w:t>
      </w:r>
      <w:r>
        <w:rPr>
          <w:rFonts w:ascii="Liberation Sans" w:hAnsi="Liberation Sans" w:eastAsia="Liberation Sans"/>
        </w:rPr>
        <w:t xml:space="preserve"> </w:t>
      </w:r>
      <w:r>
        <w:rPr>
          <w:rFonts w:ascii="Liberation Sans" w:hAnsi="Liberation Sans" w:eastAsia="Liberation Sans"/>
          <w:b/>
          <w:bCs/>
        </w:rPr>
        <w:t xml:space="preserve">fit of mandate + ability to do something useful + evidential maturity required + risk of misrouting</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High</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can therefore mean</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high once threshold met,</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not</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send immediately.</w:t>
      </w:r>
      <w:r>
        <w:rPr>
          <w:rFonts w:ascii="Liberation Sans" w:hAnsi="Liberation Sans" w:eastAsia="Liberation Sans"/>
        </w:rPr>
        <w:t xml:space="preserve">”</w:t>
      </w:r>
    </w:p>
    <w:bookmarkStart w:id="145" w:name="ireland"/>
    <w:p>
      <w:pPr>
        <w:pStyle w:val="Heading2"/>
        <w:keepNext/>
      </w:pPr>
      <w:r>
        <w:rPr>
          <w:rFonts w:ascii="Liberation Sans" w:hAnsi="Liberation Sans" w:eastAsia="Liberation Sans"/>
        </w:rPr>
        <w:t xml:space="preserve">Ireland</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879"/>
        <w:gridCol w:w="879"/>
        <w:gridCol w:w="879"/>
        <w:gridCol w:w="879"/>
        <w:gridCol w:w="879"/>
        <w:gridCol w:w="879"/>
        <w:gridCol w:w="879"/>
        <w:gridCol w:w="879"/>
        <w:gridCol w:w="879"/>
      </w:tblGrid>
      <w:tr>
        <w:trPr>
          <w:tblHeader w:val="on"/>
          <w:tblHeader w:val="true"/>
          <w:cantSplit/>
        </w:trPr>
        <w:tc>
          <w:tcPr>
            <w:vAlign w:val="center"/>
            <w:tcMar>
              <w:top w:w="80" w:type="dxa"/>
              <w:start w:w="85" w:type="dxa"/>
              <w:bottom w:w="80" w:type="dxa"/>
              <w:end w:w="85" w:type="dxa"/>
            </w:tcMar>
            <w:tcW w:type="dxa" w:w="1800"/>
            <w:shd w:fill="E9EDF2"/>
          </w:tcPr>
          <w:p>
            <w:pPr>
              <w:pStyle w:val="Compact"/>
              <w:spacing w:before="0" w:after="50" w:line="240" w:lineRule="auto"/>
              <w:jc w:val="left"/>
            </w:pPr>
            <w:r>
              <w:rPr>
                <w:rFonts w:ascii="Liberation Sans" w:hAnsi="Liberation Sans" w:eastAsia="Liberation Sans"/>
                <w:b/>
                <w:sz w:val="13"/>
              </w:rPr>
              <w:t xml:space="preserve">Institution / community</w:t>
            </w:r>
          </w:p>
        </w:tc>
        <w:tc>
          <w:tcPr>
            <w:vAlign w:val="center"/>
            <w:tcMar>
              <w:top w:w="80" w:type="dxa"/>
              <w:start w:w="85" w:type="dxa"/>
              <w:bottom w:w="80" w:type="dxa"/>
              <w:end w:w="85" w:type="dxa"/>
            </w:tcMar>
            <w:tcW w:type="dxa" w:w="1007"/>
            <w:shd w:fill="E9EDF2"/>
          </w:tcPr>
          <w:p>
            <w:pPr>
              <w:pStyle w:val="Compact"/>
              <w:spacing w:before="0" w:after="50" w:line="240" w:lineRule="auto"/>
              <w:jc w:val="left"/>
            </w:pPr>
            <w:r>
              <w:rPr>
                <w:rFonts w:ascii="Liberation Sans" w:hAnsi="Liberation Sans" w:eastAsia="Liberation Sans"/>
                <w:b/>
                <w:sz w:val="13"/>
              </w:rPr>
              <w:t xml:space="preserve">Territory</w:t>
            </w:r>
          </w:p>
        </w:tc>
        <w:tc>
          <w:tcPr>
            <w:vAlign w:val="center"/>
            <w:tcMar>
              <w:top w:w="80" w:type="dxa"/>
              <w:start w:w="85" w:type="dxa"/>
              <w:bottom w:w="80" w:type="dxa"/>
              <w:end w:w="85" w:type="dxa"/>
            </w:tcMar>
            <w:tcW w:type="dxa" w:w="1296"/>
            <w:shd w:fill="E9EDF2"/>
          </w:tcPr>
          <w:p>
            <w:pPr>
              <w:pStyle w:val="Compact"/>
              <w:spacing w:before="0" w:after="50" w:line="240" w:lineRule="auto"/>
              <w:jc w:val="left"/>
            </w:pPr>
            <w:r>
              <w:rPr>
                <w:rFonts w:ascii="Liberation Sans" w:hAnsi="Liberation Sans" w:eastAsia="Liberation Sans"/>
                <w:b/>
                <w:sz w:val="13"/>
              </w:rPr>
              <w:t xml:space="preserve">Type</w:t>
            </w:r>
          </w:p>
        </w:tc>
        <w:tc>
          <w:tcPr>
            <w:vAlign w:val="center"/>
            <w:tcMar>
              <w:top w:w="80" w:type="dxa"/>
              <w:start w:w="85" w:type="dxa"/>
              <w:bottom w:w="80" w:type="dxa"/>
              <w:end w:w="85" w:type="dxa"/>
            </w:tcMar>
            <w:tcW w:type="dxa" w:w="1036"/>
            <w:shd w:fill="E9EDF2"/>
          </w:tcPr>
          <w:p>
            <w:pPr>
              <w:pStyle w:val="Compact"/>
              <w:spacing w:before="0" w:after="50" w:line="240" w:lineRule="auto"/>
              <w:jc w:val="left"/>
            </w:pPr>
            <w:r>
              <w:rPr>
                <w:rFonts w:ascii="Liberation Sans" w:hAnsi="Liberation Sans" w:eastAsia="Liberation Sans"/>
                <w:b/>
                <w:sz w:val="13"/>
              </w:rPr>
              <w:t xml:space="preserve">Direct jurisdiction?</w:t>
            </w:r>
          </w:p>
        </w:tc>
        <w:tc>
          <w:tcPr>
            <w:vAlign w:val="center"/>
            <w:tcMar>
              <w:top w:w="80" w:type="dxa"/>
              <w:start w:w="85" w:type="dxa"/>
              <w:bottom w:w="80" w:type="dxa"/>
              <w:end w:w="85" w:type="dxa"/>
            </w:tcMar>
            <w:tcW w:type="dxa" w:w="1728"/>
            <w:shd w:fill="E9EDF2"/>
          </w:tcPr>
          <w:p>
            <w:pPr>
              <w:pStyle w:val="Compact"/>
              <w:spacing w:before="0" w:after="50" w:line="240" w:lineRule="auto"/>
              <w:jc w:val="left"/>
            </w:pPr>
            <w:r>
              <w:rPr>
                <w:rFonts w:ascii="Liberation Sans" w:hAnsi="Liberation Sans" w:eastAsia="Liberation Sans"/>
                <w:b/>
                <w:sz w:val="13"/>
              </w:rPr>
              <w:t xml:space="preserve">Ethical relevance</w:t>
            </w:r>
          </w:p>
        </w:tc>
        <w:tc>
          <w:tcPr>
            <w:vAlign w:val="center"/>
            <w:tcMar>
              <w:top w:w="80" w:type="dxa"/>
              <w:start w:w="85" w:type="dxa"/>
              <w:bottom w:w="80" w:type="dxa"/>
              <w:end w:w="85" w:type="dxa"/>
            </w:tcMar>
            <w:tcW w:type="dxa" w:w="2232"/>
            <w:shd w:fill="E9EDF2"/>
          </w:tcPr>
          <w:p>
            <w:pPr>
              <w:pStyle w:val="Compact"/>
              <w:spacing w:before="0" w:after="50" w:line="240" w:lineRule="auto"/>
              <w:jc w:val="left"/>
            </w:pPr>
            <w:r>
              <w:rPr>
                <w:rFonts w:ascii="Liberation Sans" w:hAnsi="Liberation Sans" w:eastAsia="Liberation Sans"/>
                <w:b/>
                <w:sz w:val="13"/>
              </w:rPr>
              <w:t xml:space="preserve">Specific proposition likely to interest it</w:t>
            </w:r>
          </w:p>
        </w:tc>
        <w:tc>
          <w:tcPr>
            <w:vAlign w:val="center"/>
            <w:tcMar>
              <w:top w:w="80" w:type="dxa"/>
              <w:start w:w="85" w:type="dxa"/>
              <w:bottom w:w="80" w:type="dxa"/>
              <w:end w:w="85" w:type="dxa"/>
            </w:tcMar>
            <w:tcW w:type="dxa" w:w="2088"/>
            <w:shd w:fill="E9EDF2"/>
          </w:tcPr>
          <w:p>
            <w:pPr>
              <w:pStyle w:val="Compact"/>
              <w:spacing w:before="0" w:after="50" w:line="240" w:lineRule="auto"/>
              <w:jc w:val="left"/>
            </w:pPr>
            <w:r>
              <w:rPr>
                <w:rFonts w:ascii="Liberation Sans" w:hAnsi="Liberation Sans" w:eastAsia="Liberation Sans"/>
                <w:b/>
                <w:sz w:val="13"/>
              </w:rPr>
              <w:t xml:space="preserve">Evidence needed before engagement</w:t>
            </w:r>
          </w:p>
        </w:tc>
        <w:tc>
          <w:tcPr>
            <w:vAlign w:val="center"/>
            <w:tcMar>
              <w:top w:w="80" w:type="dxa"/>
              <w:start w:w="85" w:type="dxa"/>
              <w:bottom w:w="80" w:type="dxa"/>
              <w:end w:w="85" w:type="dxa"/>
            </w:tcMar>
            <w:tcW w:type="dxa" w:w="1944"/>
            <w:shd w:fill="E9EDF2"/>
          </w:tcPr>
          <w:p>
            <w:pPr>
              <w:pStyle w:val="Compact"/>
              <w:spacing w:before="0" w:after="50" w:line="240" w:lineRule="auto"/>
              <w:jc w:val="left"/>
            </w:pPr>
            <w:r>
              <w:rPr>
                <w:rFonts w:ascii="Liberation Sans" w:hAnsi="Liberation Sans" w:eastAsia="Liberation Sans"/>
                <w:b/>
                <w:sz w:val="13"/>
              </w:rPr>
              <w:t xml:space="preserve">Appropriate form of engagement</w:t>
            </w:r>
          </w:p>
        </w:tc>
        <w:tc>
          <w:tcPr>
            <w:vAlign w:val="center"/>
            <w:tcMar>
              <w:top w:w="80" w:type="dxa"/>
              <w:start w:w="85" w:type="dxa"/>
              <w:bottom w:w="80" w:type="dxa"/>
              <w:end w:w="85" w:type="dxa"/>
            </w:tcMar>
            <w:tcW w:type="dxa" w:w="936"/>
            <w:shd w:fill="E9EDF2"/>
          </w:tcPr>
          <w:p>
            <w:pPr>
              <w:pStyle w:val="Compact"/>
              <w:spacing w:before="0" w:after="50" w:line="240" w:lineRule="auto"/>
              <w:jc w:val="left"/>
            </w:pPr>
            <w:r>
              <w:rPr>
                <w:rFonts w:ascii="Liberation Sans" w:hAnsi="Liberation Sans" w:eastAsia="Liberation Sans"/>
                <w:b/>
                <w:sz w:val="13"/>
              </w:rPr>
              <w:t xml:space="preserve">Priority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Treating hospital / service clinical governance</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 / local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Hospital governance</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Yes, over its service and records</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the original relational assessment, documentation and later review were adequate; whether an information-state safety failure occurred</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Core primary record; chronology; authorship; protest evidence; key later contradictions</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Request for independent clinical-governance + record-provenance review</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Relevant HSE Health Region</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 / regional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Hospital governance / system management</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Yes, within HSE governance</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the mechanism crossed services/time and requires regional learning or corrective governance</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Provider review record; evidence map; unresolved system questions</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Escalated regional QPS/governance dossier</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HSE National QPS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 / national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Patient-safety body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System role; not fitness-to-practise adjudicator</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inherited information states can create safety risk and constrained learning</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Mature de-identified mechanism; provider findings; clear safety pathway</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Patient-safety learning / QPS intelligence submission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w:t>
            </w:r>
            <w:r>
              <w:rPr>
                <w:rFonts w:ascii="Liberation Sans" w:hAnsi="Liberation Sans" w:eastAsia="Liberation Sans"/>
                <w:b/>
                <w:sz w:val="13"/>
              </w:rPr>
              <w:t xml:space="preserve"> </w:t>
            </w:r>
            <w:r>
              <w:rPr>
                <w:rFonts w:ascii="Liberation Sans" w:hAnsi="Liberation Sans" w:eastAsia="Liberation Sans"/>
                <w:b/>
                <w:sz w:val="13"/>
              </w:rPr>
              <w:t xml:space="preserve">after local evidential development</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HSE QPS Incident Management / NIMS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 / national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Patient-safety body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Incident-management framework role</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incident review should reconstruct primary evidence and classify documentary descendants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Incident threshold; source corpus; harm/near-harm pathway</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Incident-management / system-analysis request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w:t>
            </w:r>
            <w:r>
              <w:rPr>
                <w:rFonts w:ascii="Liberation Sans" w:hAnsi="Liberation Sans" w:eastAsia="Liberation Sans"/>
                <w:b/>
                <w:sz w:val="13"/>
              </w:rPr>
              <w:t xml:space="preserve"> </w:t>
            </w:r>
            <w:r>
              <w:rPr>
                <w:rFonts w:ascii="Liberation Sans" w:hAnsi="Liberation Sans" w:eastAsia="Liberation Sans"/>
                <w:b/>
                <w:sz w:val="13"/>
              </w:rPr>
              <w:t xml:space="preserve">if incident criteria engaged</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HSE Open Disclosure structures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Patient-safety / disclosure</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Yes within current HSE disclosure governance</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How newly established safety findings should be communicated transparently</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Accepted incident/review finding; disclosure trigger</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Open-disclosure process, not merits complaint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Medium–High</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Medical Council of Ireland</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Professional regulator</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Yes, individual registered doctors</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 if doctor-specific</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conduct/performance/recording reached statutory fitness-to-practise seriousness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Authenticated records; responsibility; contemporaneous clinical expert opinion; explanation of historic practicability</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Focused statutory complaint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if threshold met; premature otherwise</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HIQA</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Healthcare regulator / standard setter</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individual complaint adjudication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system relevance</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information-management/discharge practices create service-level safety risk</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De-identified systemic evidence; standards mapping; ideally more than an unresolved individual dispute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Concern / safety-intelligence communication</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Medium</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Office of the Ombudsman</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Ombudsman</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Yes for maladministration; no clinical judgment</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Moderate</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Wrong information, deficient reasons, or complaint handling independent of diagnosis merits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Completed public-body complaint route; clearly severable administrative issue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Administrative complaint</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Medium</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Data Protection Commission</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 / EU GDPR</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Data-protection authority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Yes for GDPR/data protection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but narrow</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Factual accuracy, attribution, completeness, supplementary statement; not clinical correctness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Specific data item; evidence; controller rectification request and response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Article 16 / GDPR complaint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Medium–High for precise data issue</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 Advocacy Service</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 organisation / advocacy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adjudication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practical relevance</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Preservation of patient voice and navigation of complaint/safety processes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Basic chronology and complaint status</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Advocacy support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practical priority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National Patient Safety Office, Department of Health</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 / national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Patient-safety policy body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Policy, not first-line case adjudication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after generalisation</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national policy/learning needs to address self-reinforcing information states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Mature systemic analysis; provider/HSE learning; policy proposal</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Policy / patient-safety intelligence submission</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Medium</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RCPI / relevant postgraduate training structures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Professional association / training</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Generally no case adjudication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educational relevance</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Documentation ethics, diagnostic stewardship, reflection and double-loop learning</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De-identified, validated educational case or concept paper</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Education / CPD / professional standards communication</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Medium</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University of Galway / teaching governance</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Academic / teaching governance</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Only if institutional nexus exists</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Conditional</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Whether teaching, supervision or university-controlled activity engaged the case</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Proof of relevant university role, teaching or governance link</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Targeted governance communication</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Low unless facts engage it</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Research Ethics / Research Integrity structures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Research governance</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Only for research/research misconduct</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Conditional</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Use of records/person in research; research misconduct; ethics approval</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Evidence that research or research reuse occurred</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Formal research-ethics/integrity route</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Low / conditional</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Medical defence / medico-legal ethics organisations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Ireland</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Professional advisory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public adjudication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Moderate</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Professional record practice and complaint-handling guidance</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De-identified issue or member-specific request</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Advisory / educational engagement</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Low–Medium</w:t>
            </w:r>
          </w:p>
        </w:tc>
      </w:tr>
    </w:tbl>
    <w:bookmarkEnd w:id="145"/>
    <w:bookmarkStart w:id="146" w:name="europe"/>
    <w:p>
      <w:pPr>
        <w:pStyle w:val="Heading2"/>
        <w:keepNext/>
      </w:pPr>
      <w:r>
        <w:rPr>
          <w:rFonts w:ascii="Liberation Sans" w:hAnsi="Liberation Sans" w:eastAsia="Liberation Sans"/>
        </w:rPr>
        <w:t xml:space="preserve">Europe</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879"/>
        <w:gridCol w:w="879"/>
        <w:gridCol w:w="879"/>
        <w:gridCol w:w="879"/>
        <w:gridCol w:w="879"/>
        <w:gridCol w:w="879"/>
        <w:gridCol w:w="879"/>
        <w:gridCol w:w="879"/>
        <w:gridCol w:w="879"/>
      </w:tblGrid>
      <w:tr>
        <w:trPr>
          <w:tblHeader w:val="on"/>
          <w:tblHeader w:val="true"/>
          <w:cantSplit/>
        </w:trPr>
        <w:tc>
          <w:tcPr>
            <w:vAlign w:val="center"/>
            <w:tcMar>
              <w:top w:w="80" w:type="dxa"/>
              <w:start w:w="85" w:type="dxa"/>
              <w:bottom w:w="80" w:type="dxa"/>
              <w:end w:w="85" w:type="dxa"/>
            </w:tcMar>
            <w:tcW w:type="dxa" w:w="1800"/>
            <w:shd w:fill="E9EDF2"/>
          </w:tcPr>
          <w:p>
            <w:pPr>
              <w:pStyle w:val="Compact"/>
              <w:spacing w:before="0" w:after="50" w:line="240" w:lineRule="auto"/>
              <w:jc w:val="left"/>
            </w:pPr>
            <w:r>
              <w:rPr>
                <w:rFonts w:ascii="Liberation Sans" w:hAnsi="Liberation Sans" w:eastAsia="Liberation Sans"/>
                <w:b/>
                <w:sz w:val="13"/>
              </w:rPr>
              <w:t xml:space="preserve">Institution / community</w:t>
            </w:r>
          </w:p>
        </w:tc>
        <w:tc>
          <w:tcPr>
            <w:vAlign w:val="center"/>
            <w:tcMar>
              <w:top w:w="80" w:type="dxa"/>
              <w:start w:w="85" w:type="dxa"/>
              <w:bottom w:w="80" w:type="dxa"/>
              <w:end w:w="85" w:type="dxa"/>
            </w:tcMar>
            <w:tcW w:type="dxa" w:w="1007"/>
            <w:shd w:fill="E9EDF2"/>
          </w:tcPr>
          <w:p>
            <w:pPr>
              <w:pStyle w:val="Compact"/>
              <w:spacing w:before="0" w:after="50" w:line="240" w:lineRule="auto"/>
              <w:jc w:val="left"/>
            </w:pPr>
            <w:r>
              <w:rPr>
                <w:rFonts w:ascii="Liberation Sans" w:hAnsi="Liberation Sans" w:eastAsia="Liberation Sans"/>
                <w:b/>
                <w:sz w:val="13"/>
              </w:rPr>
              <w:t xml:space="preserve">Territory</w:t>
            </w:r>
          </w:p>
        </w:tc>
        <w:tc>
          <w:tcPr>
            <w:vAlign w:val="center"/>
            <w:tcMar>
              <w:top w:w="80" w:type="dxa"/>
              <w:start w:w="85" w:type="dxa"/>
              <w:bottom w:w="80" w:type="dxa"/>
              <w:end w:w="85" w:type="dxa"/>
            </w:tcMar>
            <w:tcW w:type="dxa" w:w="1296"/>
            <w:shd w:fill="E9EDF2"/>
          </w:tcPr>
          <w:p>
            <w:pPr>
              <w:pStyle w:val="Compact"/>
              <w:spacing w:before="0" w:after="50" w:line="240" w:lineRule="auto"/>
              <w:jc w:val="left"/>
            </w:pPr>
            <w:r>
              <w:rPr>
                <w:rFonts w:ascii="Liberation Sans" w:hAnsi="Liberation Sans" w:eastAsia="Liberation Sans"/>
                <w:b/>
                <w:sz w:val="13"/>
              </w:rPr>
              <w:t xml:space="preserve">Type</w:t>
            </w:r>
          </w:p>
        </w:tc>
        <w:tc>
          <w:tcPr>
            <w:vAlign w:val="center"/>
            <w:tcMar>
              <w:top w:w="80" w:type="dxa"/>
              <w:start w:w="85" w:type="dxa"/>
              <w:bottom w:w="80" w:type="dxa"/>
              <w:end w:w="85" w:type="dxa"/>
            </w:tcMar>
            <w:tcW w:type="dxa" w:w="1036"/>
            <w:shd w:fill="E9EDF2"/>
          </w:tcPr>
          <w:p>
            <w:pPr>
              <w:pStyle w:val="Compact"/>
              <w:spacing w:before="0" w:after="50" w:line="240" w:lineRule="auto"/>
              <w:jc w:val="left"/>
            </w:pPr>
            <w:r>
              <w:rPr>
                <w:rFonts w:ascii="Liberation Sans" w:hAnsi="Liberation Sans" w:eastAsia="Liberation Sans"/>
                <w:b/>
                <w:sz w:val="13"/>
              </w:rPr>
              <w:t xml:space="preserve">Direct jurisdiction?</w:t>
            </w:r>
          </w:p>
        </w:tc>
        <w:tc>
          <w:tcPr>
            <w:vAlign w:val="center"/>
            <w:tcMar>
              <w:top w:w="80" w:type="dxa"/>
              <w:start w:w="85" w:type="dxa"/>
              <w:bottom w:w="80" w:type="dxa"/>
              <w:end w:w="85" w:type="dxa"/>
            </w:tcMar>
            <w:tcW w:type="dxa" w:w="1728"/>
            <w:shd w:fill="E9EDF2"/>
          </w:tcPr>
          <w:p>
            <w:pPr>
              <w:pStyle w:val="Compact"/>
              <w:spacing w:before="0" w:after="50" w:line="240" w:lineRule="auto"/>
              <w:jc w:val="left"/>
            </w:pPr>
            <w:r>
              <w:rPr>
                <w:rFonts w:ascii="Liberation Sans" w:hAnsi="Liberation Sans" w:eastAsia="Liberation Sans"/>
                <w:b/>
                <w:sz w:val="13"/>
              </w:rPr>
              <w:t xml:space="preserve">Ethical relevance</w:t>
            </w:r>
          </w:p>
        </w:tc>
        <w:tc>
          <w:tcPr>
            <w:vAlign w:val="center"/>
            <w:tcMar>
              <w:top w:w="80" w:type="dxa"/>
              <w:start w:w="85" w:type="dxa"/>
              <w:bottom w:w="80" w:type="dxa"/>
              <w:end w:w="85" w:type="dxa"/>
            </w:tcMar>
            <w:tcW w:type="dxa" w:w="2232"/>
            <w:shd w:fill="E9EDF2"/>
          </w:tcPr>
          <w:p>
            <w:pPr>
              <w:pStyle w:val="Compact"/>
              <w:spacing w:before="0" w:after="50" w:line="240" w:lineRule="auto"/>
              <w:jc w:val="left"/>
            </w:pPr>
            <w:r>
              <w:rPr>
                <w:rFonts w:ascii="Liberation Sans" w:hAnsi="Liberation Sans" w:eastAsia="Liberation Sans"/>
                <w:b/>
                <w:sz w:val="13"/>
              </w:rPr>
              <w:t xml:space="preserve">Specific proposition likely to interest it</w:t>
            </w:r>
          </w:p>
        </w:tc>
        <w:tc>
          <w:tcPr>
            <w:vAlign w:val="center"/>
            <w:tcMar>
              <w:top w:w="80" w:type="dxa"/>
              <w:start w:w="85" w:type="dxa"/>
              <w:bottom w:w="80" w:type="dxa"/>
              <w:end w:w="85" w:type="dxa"/>
            </w:tcMar>
            <w:tcW w:type="dxa" w:w="2088"/>
            <w:shd w:fill="E9EDF2"/>
          </w:tcPr>
          <w:p>
            <w:pPr>
              <w:pStyle w:val="Compact"/>
              <w:spacing w:before="0" w:after="50" w:line="240" w:lineRule="auto"/>
              <w:jc w:val="left"/>
            </w:pPr>
            <w:r>
              <w:rPr>
                <w:rFonts w:ascii="Liberation Sans" w:hAnsi="Liberation Sans" w:eastAsia="Liberation Sans"/>
                <w:b/>
                <w:sz w:val="13"/>
              </w:rPr>
              <w:t xml:space="preserve">Evidence needed before engagement</w:t>
            </w:r>
          </w:p>
        </w:tc>
        <w:tc>
          <w:tcPr>
            <w:vAlign w:val="center"/>
            <w:tcMar>
              <w:top w:w="80" w:type="dxa"/>
              <w:start w:w="85" w:type="dxa"/>
              <w:bottom w:w="80" w:type="dxa"/>
              <w:end w:w="85" w:type="dxa"/>
            </w:tcMar>
            <w:tcW w:type="dxa" w:w="1944"/>
            <w:shd w:fill="E9EDF2"/>
          </w:tcPr>
          <w:p>
            <w:pPr>
              <w:pStyle w:val="Compact"/>
              <w:spacing w:before="0" w:after="50" w:line="240" w:lineRule="auto"/>
              <w:jc w:val="left"/>
            </w:pPr>
            <w:r>
              <w:rPr>
                <w:rFonts w:ascii="Liberation Sans" w:hAnsi="Liberation Sans" w:eastAsia="Liberation Sans"/>
                <w:b/>
                <w:sz w:val="13"/>
              </w:rPr>
              <w:t xml:space="preserve">Appropriate form of engagement</w:t>
            </w:r>
          </w:p>
        </w:tc>
        <w:tc>
          <w:tcPr>
            <w:vAlign w:val="center"/>
            <w:tcMar>
              <w:top w:w="80" w:type="dxa"/>
              <w:start w:w="85" w:type="dxa"/>
              <w:bottom w:w="80" w:type="dxa"/>
              <w:end w:w="85" w:type="dxa"/>
            </w:tcMar>
            <w:tcW w:type="dxa" w:w="936"/>
            <w:shd w:fill="E9EDF2"/>
          </w:tcPr>
          <w:p>
            <w:pPr>
              <w:pStyle w:val="Compact"/>
              <w:spacing w:before="0" w:after="50" w:line="240" w:lineRule="auto"/>
              <w:jc w:val="left"/>
            </w:pPr>
            <w:r>
              <w:rPr>
                <w:rFonts w:ascii="Liberation Sans" w:hAnsi="Liberation Sans" w:eastAsia="Liberation Sans"/>
                <w:b/>
                <w:sz w:val="13"/>
              </w:rPr>
              <w:t xml:space="preserve">Priority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European Data Protection Board</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EU/EEA</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Data-protection standard setter</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No</w:t>
            </w:r>
            <w:r>
              <w:rPr>
                <w:rFonts w:ascii="Liberation Sans" w:hAnsi="Liberation Sans" w:eastAsia="Liberation Sans"/>
                <w:sz w:val="13"/>
              </w:rPr>
              <w:t xml:space="preserve"> </w:t>
            </w:r>
            <w:r>
              <w:rPr>
                <w:rFonts w:ascii="Liberation Sans" w:hAnsi="Liberation Sans" w:eastAsia="Liberation Sans"/>
                <w:sz w:val="13"/>
              </w:rPr>
              <w:t xml:space="preserve">individual complaints/investigations</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Medium–High systemic</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Need for guidance on completion/provenance of contested clinical narratives in interoperable EHRs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Generalised GDPR problem; evidence of cross-system significance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Guidance suggestion / consultation response</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Medium</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European Commission health / digital-health functions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Policy body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general individual clinical jurisdiction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Medium</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Policy implications for safe health-information exchange and EHDS implementation</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Generalisable mechanism tied to EU competence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Policy submission / consultation</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Low–Medium</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 Agency for Fundamental Rights (FRA)</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Human-rights research/advice</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No</w:t>
            </w:r>
            <w:r>
              <w:rPr>
                <w:rFonts w:ascii="Liberation Sans" w:hAnsi="Liberation Sans" w:eastAsia="Liberation Sans"/>
                <w:sz w:val="13"/>
              </w:rPr>
              <w:t xml:space="preserve"> </w:t>
            </w:r>
            <w:r>
              <w:rPr>
                <w:rFonts w:ascii="Liberation Sans" w:hAnsi="Liberation Sans" w:eastAsia="Liberation Sans"/>
                <w:sz w:val="13"/>
              </w:rPr>
              <w:t xml:space="preserve">individual complaints</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Medium</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Dignity, participation, data protection and access-to-justice dimensions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De-identified systemic evidence within EU competence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Research/policy communication</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Low–Medium</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Council of Europe CDBIO</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Europe</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Human-rights / bioethics norm setter</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ordinary individual complaint jurisdiction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conceptual</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Biomedical human-rights implications of documentary authority and patient participation</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Mature conceptual paper with cross-national relevance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Policy / expert / scholarly communication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Medium–High</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Oviedo Convention framework</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Council of Europe</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Treaty / normative framework</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Not a body; Ireland has not signed/ratified</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comparator value</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Autonomy, dignity, information and professional responsibility principles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Legal/normative mapping; no claim of Irish binding force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Ethical comparison only</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Medium as framework</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European Court of Human Rights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Council of Europe</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Court</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Potentially, only if Convention admissibility satisfied</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Conditional</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Cognisable Convention-right violation by state after domestic remedies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Legal advice; exhaustion; timing; victim status; substantiated right</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Legal application only</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3"/>
              </w:rPr>
              <w:t xml:space="preserve">Low / highly conditional</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ESPMH</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Europe</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Academic ethics / philosophy community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 scholarly</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Epistemic status, documentary authority, constrained corrigibility</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De-identified analytic paper with falsification and literature map</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Conference/journal/scholarly submission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scholarly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EACME</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Europe</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Academic ethics network</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 scholarly/education</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Clinical ethics, teaching and policy implications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Mature concept paper</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Academic network / conference engagement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Medium–High</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EFMI</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Europe</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Health-informatics body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Provenance, uncertainty representation, inherited classifications in digital records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Technical/clinical model; preferably multi-case/system data</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Informatics paper / working-group engagement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scholarly</w:t>
            </w:r>
          </w:p>
        </w:tc>
      </w:tr>
    </w:tbl>
    <w:bookmarkEnd w:id="146"/>
    <w:bookmarkStart w:id="147" w:name="global"/>
    <w:p>
      <w:pPr>
        <w:pStyle w:val="Heading2"/>
        <w:keepNext/>
      </w:pPr>
      <w:r>
        <w:rPr>
          <w:rFonts w:ascii="Liberation Sans" w:hAnsi="Liberation Sans" w:eastAsia="Liberation Sans"/>
        </w:rPr>
        <w:t xml:space="preserve">Global</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879"/>
        <w:gridCol w:w="879"/>
        <w:gridCol w:w="879"/>
        <w:gridCol w:w="879"/>
        <w:gridCol w:w="879"/>
        <w:gridCol w:w="879"/>
        <w:gridCol w:w="879"/>
        <w:gridCol w:w="879"/>
        <w:gridCol w:w="879"/>
      </w:tblGrid>
      <w:tr>
        <w:trPr>
          <w:tblHeader w:val="on"/>
          <w:tblHeader w:val="true"/>
          <w:cantSplit/>
        </w:trPr>
        <w:tc>
          <w:tcPr>
            <w:vAlign w:val="center"/>
            <w:tcMar>
              <w:top w:w="80" w:type="dxa"/>
              <w:start w:w="85" w:type="dxa"/>
              <w:bottom w:w="80" w:type="dxa"/>
              <w:end w:w="85" w:type="dxa"/>
            </w:tcMar>
            <w:tcW w:type="dxa" w:w="1800"/>
            <w:shd w:fill="E9EDF2"/>
          </w:tcPr>
          <w:p>
            <w:pPr>
              <w:pStyle w:val="Compact"/>
              <w:spacing w:before="0" w:after="50" w:line="240" w:lineRule="auto"/>
              <w:jc w:val="left"/>
            </w:pPr>
            <w:r>
              <w:rPr>
                <w:rFonts w:ascii="Liberation Sans" w:hAnsi="Liberation Sans" w:eastAsia="Liberation Sans"/>
                <w:b/>
                <w:sz w:val="13"/>
              </w:rPr>
              <w:t xml:space="preserve">Institution / community</w:t>
            </w:r>
          </w:p>
        </w:tc>
        <w:tc>
          <w:tcPr>
            <w:vAlign w:val="center"/>
            <w:tcMar>
              <w:top w:w="80" w:type="dxa"/>
              <w:start w:w="85" w:type="dxa"/>
              <w:bottom w:w="80" w:type="dxa"/>
              <w:end w:w="85" w:type="dxa"/>
            </w:tcMar>
            <w:tcW w:type="dxa" w:w="1007"/>
            <w:shd w:fill="E9EDF2"/>
          </w:tcPr>
          <w:p>
            <w:pPr>
              <w:pStyle w:val="Compact"/>
              <w:spacing w:before="0" w:after="50" w:line="240" w:lineRule="auto"/>
              <w:jc w:val="left"/>
            </w:pPr>
            <w:r>
              <w:rPr>
                <w:rFonts w:ascii="Liberation Sans" w:hAnsi="Liberation Sans" w:eastAsia="Liberation Sans"/>
                <w:b/>
                <w:sz w:val="13"/>
              </w:rPr>
              <w:t xml:space="preserve">Territory</w:t>
            </w:r>
          </w:p>
        </w:tc>
        <w:tc>
          <w:tcPr>
            <w:vAlign w:val="center"/>
            <w:tcMar>
              <w:top w:w="80" w:type="dxa"/>
              <w:start w:w="85" w:type="dxa"/>
              <w:bottom w:w="80" w:type="dxa"/>
              <w:end w:w="85" w:type="dxa"/>
            </w:tcMar>
            <w:tcW w:type="dxa" w:w="1296"/>
            <w:shd w:fill="E9EDF2"/>
          </w:tcPr>
          <w:p>
            <w:pPr>
              <w:pStyle w:val="Compact"/>
              <w:spacing w:before="0" w:after="50" w:line="240" w:lineRule="auto"/>
              <w:jc w:val="left"/>
            </w:pPr>
            <w:r>
              <w:rPr>
                <w:rFonts w:ascii="Liberation Sans" w:hAnsi="Liberation Sans" w:eastAsia="Liberation Sans"/>
                <w:b/>
                <w:sz w:val="13"/>
              </w:rPr>
              <w:t xml:space="preserve">Type</w:t>
            </w:r>
          </w:p>
        </w:tc>
        <w:tc>
          <w:tcPr>
            <w:vAlign w:val="center"/>
            <w:tcMar>
              <w:top w:w="80" w:type="dxa"/>
              <w:start w:w="85" w:type="dxa"/>
              <w:bottom w:w="80" w:type="dxa"/>
              <w:end w:w="85" w:type="dxa"/>
            </w:tcMar>
            <w:tcW w:type="dxa" w:w="1036"/>
            <w:shd w:fill="E9EDF2"/>
          </w:tcPr>
          <w:p>
            <w:pPr>
              <w:pStyle w:val="Compact"/>
              <w:spacing w:before="0" w:after="50" w:line="240" w:lineRule="auto"/>
              <w:jc w:val="left"/>
            </w:pPr>
            <w:r>
              <w:rPr>
                <w:rFonts w:ascii="Liberation Sans" w:hAnsi="Liberation Sans" w:eastAsia="Liberation Sans"/>
                <w:b/>
                <w:sz w:val="13"/>
              </w:rPr>
              <w:t xml:space="preserve">Direct jurisdiction?</w:t>
            </w:r>
          </w:p>
        </w:tc>
        <w:tc>
          <w:tcPr>
            <w:vAlign w:val="center"/>
            <w:tcMar>
              <w:top w:w="80" w:type="dxa"/>
              <w:start w:w="85" w:type="dxa"/>
              <w:bottom w:w="80" w:type="dxa"/>
              <w:end w:w="85" w:type="dxa"/>
            </w:tcMar>
            <w:tcW w:type="dxa" w:w="1728"/>
            <w:shd w:fill="E9EDF2"/>
          </w:tcPr>
          <w:p>
            <w:pPr>
              <w:pStyle w:val="Compact"/>
              <w:spacing w:before="0" w:after="50" w:line="240" w:lineRule="auto"/>
              <w:jc w:val="left"/>
            </w:pPr>
            <w:r>
              <w:rPr>
                <w:rFonts w:ascii="Liberation Sans" w:hAnsi="Liberation Sans" w:eastAsia="Liberation Sans"/>
                <w:b/>
                <w:sz w:val="13"/>
              </w:rPr>
              <w:t xml:space="preserve">Ethical relevance</w:t>
            </w:r>
          </w:p>
        </w:tc>
        <w:tc>
          <w:tcPr>
            <w:vAlign w:val="center"/>
            <w:tcMar>
              <w:top w:w="80" w:type="dxa"/>
              <w:start w:w="85" w:type="dxa"/>
              <w:bottom w:w="80" w:type="dxa"/>
              <w:end w:w="85" w:type="dxa"/>
            </w:tcMar>
            <w:tcW w:type="dxa" w:w="2232"/>
            <w:shd w:fill="E9EDF2"/>
          </w:tcPr>
          <w:p>
            <w:pPr>
              <w:pStyle w:val="Compact"/>
              <w:spacing w:before="0" w:after="50" w:line="240" w:lineRule="auto"/>
              <w:jc w:val="left"/>
            </w:pPr>
            <w:r>
              <w:rPr>
                <w:rFonts w:ascii="Liberation Sans" w:hAnsi="Liberation Sans" w:eastAsia="Liberation Sans"/>
                <w:b/>
                <w:sz w:val="13"/>
              </w:rPr>
              <w:t xml:space="preserve">Specific proposition likely to interest it</w:t>
            </w:r>
          </w:p>
        </w:tc>
        <w:tc>
          <w:tcPr>
            <w:vAlign w:val="center"/>
            <w:tcMar>
              <w:top w:w="80" w:type="dxa"/>
              <w:start w:w="85" w:type="dxa"/>
              <w:bottom w:w="80" w:type="dxa"/>
              <w:end w:w="85" w:type="dxa"/>
            </w:tcMar>
            <w:tcW w:type="dxa" w:w="2088"/>
            <w:shd w:fill="E9EDF2"/>
          </w:tcPr>
          <w:p>
            <w:pPr>
              <w:pStyle w:val="Compact"/>
              <w:spacing w:before="0" w:after="50" w:line="240" w:lineRule="auto"/>
              <w:jc w:val="left"/>
            </w:pPr>
            <w:r>
              <w:rPr>
                <w:rFonts w:ascii="Liberation Sans" w:hAnsi="Liberation Sans" w:eastAsia="Liberation Sans"/>
                <w:b/>
                <w:sz w:val="13"/>
              </w:rPr>
              <w:t xml:space="preserve">Evidence needed before engagement</w:t>
            </w:r>
          </w:p>
        </w:tc>
        <w:tc>
          <w:tcPr>
            <w:vAlign w:val="center"/>
            <w:tcMar>
              <w:top w:w="80" w:type="dxa"/>
              <w:start w:w="85" w:type="dxa"/>
              <w:bottom w:w="80" w:type="dxa"/>
              <w:end w:w="85" w:type="dxa"/>
            </w:tcMar>
            <w:tcW w:type="dxa" w:w="1944"/>
            <w:shd w:fill="E9EDF2"/>
          </w:tcPr>
          <w:p>
            <w:pPr>
              <w:pStyle w:val="Compact"/>
              <w:spacing w:before="0" w:after="50" w:line="240" w:lineRule="auto"/>
              <w:jc w:val="left"/>
            </w:pPr>
            <w:r>
              <w:rPr>
                <w:rFonts w:ascii="Liberation Sans" w:hAnsi="Liberation Sans" w:eastAsia="Liberation Sans"/>
                <w:b/>
                <w:sz w:val="13"/>
              </w:rPr>
              <w:t xml:space="preserve">Appropriate form of engagement</w:t>
            </w:r>
          </w:p>
        </w:tc>
        <w:tc>
          <w:tcPr>
            <w:vAlign w:val="center"/>
            <w:tcMar>
              <w:top w:w="80" w:type="dxa"/>
              <w:start w:w="85" w:type="dxa"/>
              <w:bottom w:w="80" w:type="dxa"/>
              <w:end w:w="85" w:type="dxa"/>
            </w:tcMar>
            <w:tcW w:type="dxa" w:w="936"/>
            <w:shd w:fill="E9EDF2"/>
          </w:tcPr>
          <w:p>
            <w:pPr>
              <w:pStyle w:val="Compact"/>
              <w:spacing w:before="0" w:after="50" w:line="240" w:lineRule="auto"/>
              <w:jc w:val="left"/>
            </w:pPr>
            <w:r>
              <w:rPr>
                <w:rFonts w:ascii="Liberation Sans" w:hAnsi="Liberation Sans" w:eastAsia="Liberation Sans"/>
                <w:b/>
                <w:sz w:val="13"/>
              </w:rPr>
              <w:t xml:space="preserve">Priority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World Health Organization patient-safety structures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Patient-safety / policy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individual adjudication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 systemic</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Information states as a learning-system and continuity-of-care safety risk</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Validated general mechanism; system recommendations</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Policy/research communication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systemic, later-stage</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World Medical Association</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Professional ethics standard setter</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case discipline</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 professional ethics</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Prospective duties of accurate/timely documentation and preservation of uncertainty</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De-identified ethical analysis with profession-wide relevance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Ethics/policy communication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scholarly/normative</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UNESCO bioethics / IBC</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Bioethics norm setter</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case adjudication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Dignity, participation, vulnerability and authority in health-information systems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Mature generalised ethical framework</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Bioethics policy/scholarly communication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Medium–High</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ISQua</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Quality and patient-safety community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 complaint jurisdiction</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System learning, information governance, double-loop correction, quality standards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Testable model; preferably comparative evidence</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Conference/journal/quality-improvement dissemination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scholarly/systemic</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Diagnostic-safety organisations / SIDM community</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Research / patient-safety community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Diagnostic momentum plus record-mediated causal-map persistence</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Diagnostic-safety framing; testable interventions</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Research/conference/publication</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scholarly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IMIA / AMIA and allied health-informatics communities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Health-informatics body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Provenance, inheritance, uncertainty metadata, patient corrections</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Technical specification or empirical study</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Working group / journal / conference</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scholarly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Epistemic-injustice / philosophy-of-medicine scholars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Academic ethics community</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Very 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Historical credibility, hermeneutical framing, specialist epistemic power</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Philosophically rigorous case model with alternatives</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Article / workshop / expert review</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scholarly</w:t>
            </w:r>
          </w:p>
        </w:tc>
      </w:tr>
      <w:tr>
        <w:trPr>
          <w:cantSplit/>
        </w:trPr>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Medical ethics / patient-safety / informatics journals</w:t>
            </w:r>
          </w:p>
        </w:tc>
        <w:tc>
          <w:tcPr>
            <w:vAlign w:val="center"/>
            <w:tcW w:type="dxa" w:w="1007"/>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Global</w:t>
            </w:r>
          </w:p>
        </w:tc>
        <w:tc>
          <w:tcPr>
            <w:vAlign w:val="center"/>
            <w:tcW w:type="dxa" w:w="129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Journal / scholarly audience</w:t>
            </w:r>
          </w:p>
        </w:tc>
        <w:tc>
          <w:tcPr>
            <w:vAlign w:val="center"/>
            <w:tcW w:type="dxa" w:w="10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No</w:t>
            </w:r>
          </w:p>
        </w:tc>
        <w:tc>
          <w:tcPr>
            <w:vAlign w:val="center"/>
            <w:tcW w:type="dxa" w:w="172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High</w:t>
            </w:r>
          </w:p>
        </w:tc>
        <w:tc>
          <w:tcPr>
            <w:vAlign w:val="center"/>
            <w:tcW w:type="dxa" w:w="223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Generalisable theory, methods and evidence</w:t>
            </w:r>
          </w:p>
        </w:tc>
        <w:tc>
          <w:tcPr>
            <w:vAlign w:val="center"/>
            <w:tcW w:type="dxa" w:w="208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Publication-grade de-identification, ethics, methods, competing explanations</w:t>
            </w:r>
          </w:p>
        </w:tc>
        <w:tc>
          <w:tcPr>
            <w:vAlign w:val="center"/>
            <w:tcW w:type="dxa" w:w="194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3"/>
              </w:rPr>
              <w:t xml:space="preserve">Peer-reviewed manuscript</w:t>
            </w:r>
          </w:p>
        </w:tc>
        <w:tc>
          <w:tcPr>
            <w:vAlign w:val="center"/>
            <w:tcW w:type="dxa" w:w="936"/>
            <w:tcMar>
              <w:top w:w="80" w:type="dxa"/>
              <w:start w:w="85" w:type="dxa"/>
              <w:bottom w:w="80" w:type="dxa"/>
              <w:end w:w="85" w:type="dxa"/>
            </w:tcMar>
            <w:shd w:fill="F3F5F7"/>
          </w:tcPr>
          <w:p>
            <w:pPr>
              <w:pStyle w:val="Compact"/>
              <w:spacing w:before="0" w:after="50" w:line="240" w:lineRule="auto"/>
              <w:jc w:val="left"/>
            </w:pPr>
            <w:r>
              <w:rPr>
                <w:rFonts w:ascii="Liberation Sans" w:hAnsi="Liberation Sans" w:eastAsia="Liberation Sans"/>
                <w:b/>
                <w:bCs/>
                <w:sz w:val="13"/>
              </w:rPr>
              <w:t xml:space="preserve">High once evidence mature</w:t>
            </w:r>
          </w:p>
        </w:tc>
      </w:tr>
    </w:tbl>
    <w:bookmarkEnd w:id="147"/>
    <w:bookmarkEnd w:id="148"/>
    <w:bookmarkStart w:id="159" w:name="part-xii-repository-watch-architecture"/>
    <w:p>
      <w:pPr>
        <w:pStyle w:val="Heading1"/>
        <w:keepNext/>
      </w:pPr>
      <w:r>
        <w:rPr>
          <w:rFonts w:ascii="Liberation Sans" w:hAnsi="Liberation Sans" w:eastAsia="Liberation Sans"/>
        </w:rPr>
        <w:t xml:space="preserve">Part XII — Repository watch architecture</w:t>
      </w:r>
    </w:p>
    <w:p>
      <w:pPr>
        <w:pStyle w:val="FirstParagraph"/>
      </w:pPr>
      <w:r>
        <w:rPr>
          <w:rFonts w:ascii="Liberation Sans" w:hAnsi="Liberation Sans" w:eastAsia="Liberation Sans"/>
        </w:rPr>
        <w:t xml:space="preserve">The repository should be designed to prevent the very epistemic error it studies. It must make provenance, status, revision and evidential dependence visible. A public repository should not publish raw identifiable clinical records by default; it should maintain a secure evidence layer and a separately governed public layer.</w:t>
      </w:r>
    </w:p>
    <w:bookmarkStart w:id="149" w:name="recommended-markdown-repository"/>
    <w:p>
      <w:pPr>
        <w:pStyle w:val="Heading2"/>
        <w:keepNext/>
      </w:pPr>
      <w:r>
        <w:rPr>
          <w:rFonts w:ascii="Liberation Sans" w:hAnsi="Liberation Sans" w:eastAsia="Liberation Sans"/>
        </w:rPr>
        <w:t xml:space="preserve">Recommended Markdown repository</w:t>
      </w:r>
    </w:p>
    <w:p>
      <w:pPr>
        <w:pStyle w:val="SourceCode"/>
      </w:pPr>
      <w:r>
        <w:rPr>
          <w:rStyle w:val="VerbatimChar"/>
          <w:rFonts w:ascii="Liberation Mono" w:hAnsi="Liberation Mono" w:eastAsia="Liberation Mono"/>
          <w:sz w:val="18"/>
        </w:rPr>
        <w:t xml:space="preserve">README.md</w:t>
      </w:r>
      <w:r>
        <w:rPr>
          <w:rFonts w:ascii="Liberation Mono" w:hAnsi="Liberation Mono" w:eastAsia="Liberation Mono"/>
          <w:sz w:val="18"/>
        </w:rPr>
        <w:br/>
      </w:r>
      <w:r>
        <w:rPr>
          <w:rStyle w:val="VerbatimChar"/>
          <w:rFonts w:ascii="Liberation Mono" w:hAnsi="Liberation Mono" w:eastAsia="Liberation Mono"/>
          <w:sz w:val="18"/>
        </w:rPr>
        <w:t xml:space="preserve">00_governance/</w:t>
      </w:r>
      <w:r>
        <w:rPr>
          <w:rFonts w:ascii="Liberation Mono" w:hAnsi="Liberation Mono" w:eastAsia="Liberation Mono"/>
          <w:sz w:val="18"/>
        </w:rPr>
        <w:br/>
      </w:r>
      <w:r>
        <w:rPr>
          <w:rStyle w:val="VerbatimChar"/>
          <w:rFonts w:ascii="Liberation Mono" w:hAnsi="Liberation Mono" w:eastAsia="Liberation Mono"/>
          <w:sz w:val="18"/>
        </w:rPr>
        <w:t xml:space="preserve">  scope-and-controlling-suspicion.md</w:t>
      </w:r>
      <w:r>
        <w:rPr>
          <w:rFonts w:ascii="Liberation Mono" w:hAnsi="Liberation Mono" w:eastAsia="Liberation Mono"/>
          <w:sz w:val="18"/>
        </w:rPr>
        <w:br/>
      </w:r>
      <w:r>
        <w:rPr>
          <w:rStyle w:val="VerbatimChar"/>
          <w:rFonts w:ascii="Liberation Mono" w:hAnsi="Liberation Mono" w:eastAsia="Liberation Mono"/>
          <w:sz w:val="18"/>
        </w:rPr>
        <w:t xml:space="preserve">  evidence-status-rules.md</w:t>
      </w:r>
      <w:r>
        <w:rPr>
          <w:rFonts w:ascii="Liberation Mono" w:hAnsi="Liberation Mono" w:eastAsia="Liberation Mono"/>
          <w:sz w:val="18"/>
        </w:rPr>
        <w:br/>
      </w:r>
      <w:r>
        <w:rPr>
          <w:rStyle w:val="VerbatimChar"/>
          <w:rFonts w:ascii="Liberation Mono" w:hAnsi="Liberation Mono" w:eastAsia="Liberation Mono"/>
          <w:sz w:val="18"/>
        </w:rPr>
        <w:t xml:space="preserve">  publication-and-redaction-policy.md</w:t>
      </w:r>
      <w:r>
        <w:rPr>
          <w:rFonts w:ascii="Liberation Mono" w:hAnsi="Liberation Mono" w:eastAsia="Liberation Mono"/>
          <w:sz w:val="18"/>
        </w:rPr>
        <w:br/>
      </w:r>
      <w:r>
        <w:rPr>
          <w:rStyle w:val="VerbatimChar"/>
          <w:rFonts w:ascii="Liberation Mono" w:hAnsi="Liberation Mono" w:eastAsia="Liberation Mono"/>
          <w:sz w:val="18"/>
        </w:rPr>
        <w:t xml:space="preserve">  conflicts-of-interest.md</w:t>
      </w:r>
      <w:r>
        <w:rPr>
          <w:rFonts w:ascii="Liberation Mono" w:hAnsi="Liberation Mono" w:eastAsia="Liberation Mono"/>
          <w:sz w:val="18"/>
        </w:rPr>
        <w:br/>
      </w:r>
      <w:r>
        <w:rPr>
          <w:rStyle w:val="VerbatimChar"/>
          <w:rFonts w:ascii="Liberation Mono" w:hAnsi="Liberation Mono" w:eastAsia="Liberation Mono"/>
          <w:sz w:val="18"/>
        </w:rPr>
        <w:t xml:space="preserve">  corrections-policy.md</w:t>
      </w:r>
      <w:r>
        <w:rPr>
          <w:rFonts w:ascii="Liberation Mono" w:hAnsi="Liberation Mono" w:eastAsia="Liberation Mono"/>
          <w:sz w:val="18"/>
        </w:rPr>
        <w:br/>
      </w:r>
      <w:r>
        <w:rPr>
          <w:rStyle w:val="VerbatimChar"/>
          <w:rFonts w:ascii="Liberation Mono" w:hAnsi="Liberation Mono" w:eastAsia="Liberation Mono"/>
          <w:sz w:val="18"/>
        </w:rPr>
        <w:t xml:space="preserve">  legal-and-privacy-holds.md</w:t>
      </w:r>
      <w:r>
        <w:rPr>
          <w:rFonts w:ascii="Liberation Mono" w:hAnsi="Liberation Mono" w:eastAsia="Liberation Mono"/>
          <w:sz w:val="18"/>
        </w:rPr>
        <w:br/>
      </w:r>
      <w:r>
        <w:rPr>
          <w:rStyle w:val="VerbatimChar"/>
          <w:rFonts w:ascii="Liberation Mono" w:hAnsi="Liberation Mono" w:eastAsia="Liberation Mono"/>
          <w:sz w:val="18"/>
        </w:rPr>
        <w:t xml:space="preserve">01_case/</w:t>
      </w:r>
      <w:r>
        <w:rPr>
          <w:rFonts w:ascii="Liberation Mono" w:hAnsi="Liberation Mono" w:eastAsia="Liberation Mono"/>
          <w:sz w:val="18"/>
        </w:rPr>
        <w:br/>
      </w:r>
      <w:r>
        <w:rPr>
          <w:rStyle w:val="VerbatimChar"/>
          <w:rFonts w:ascii="Liberation Mono" w:hAnsi="Liberation Mono" w:eastAsia="Liberation Mono"/>
          <w:sz w:val="18"/>
        </w:rPr>
        <w:t xml:space="preserve">  chronology.md</w:t>
      </w:r>
      <w:r>
        <w:rPr>
          <w:rFonts w:ascii="Liberation Mono" w:hAnsi="Liberation Mono" w:eastAsia="Liberation Mono"/>
          <w:sz w:val="18"/>
        </w:rPr>
        <w:br/>
      </w:r>
      <w:r>
        <w:rPr>
          <w:rStyle w:val="VerbatimChar"/>
          <w:rFonts w:ascii="Liberation Mono" w:hAnsi="Liberation Mono" w:eastAsia="Liberation Mono"/>
          <w:sz w:val="18"/>
        </w:rPr>
        <w:t xml:space="preserve">  proposition-ledger.md</w:t>
      </w:r>
      <w:r>
        <w:rPr>
          <w:rFonts w:ascii="Liberation Mono" w:hAnsi="Liberation Mono" w:eastAsia="Liberation Mono"/>
          <w:sz w:val="18"/>
        </w:rPr>
        <w:br/>
      </w:r>
      <w:r>
        <w:rPr>
          <w:rStyle w:val="VerbatimChar"/>
          <w:rFonts w:ascii="Liberation Mono" w:hAnsi="Liberation Mono" w:eastAsia="Liberation Mono"/>
          <w:sz w:val="18"/>
        </w:rPr>
        <w:t xml:space="preserve">  protest-evidence.md</w:t>
      </w:r>
      <w:r>
        <w:rPr>
          <w:rFonts w:ascii="Liberation Mono" w:hAnsi="Liberation Mono" w:eastAsia="Liberation Mono"/>
          <w:sz w:val="18"/>
        </w:rPr>
        <w:br/>
      </w:r>
      <w:r>
        <w:rPr>
          <w:rStyle w:val="VerbatimChar"/>
          <w:rFonts w:ascii="Liberation Mono" w:hAnsi="Liberation Mono" w:eastAsia="Liberation Mono"/>
          <w:sz w:val="18"/>
        </w:rPr>
        <w:t xml:space="preserve">  phrase-provenance.md</w:t>
      </w:r>
      <w:r>
        <w:rPr>
          <w:rFonts w:ascii="Liberation Mono" w:hAnsi="Liberation Mono" w:eastAsia="Liberation Mono"/>
          <w:sz w:val="18"/>
        </w:rPr>
        <w:br/>
      </w:r>
      <w:r>
        <w:rPr>
          <w:rStyle w:val="VerbatimChar"/>
          <w:rFonts w:ascii="Liberation Mono" w:hAnsi="Liberation Mono" w:eastAsia="Liberation Mono"/>
          <w:sz w:val="18"/>
        </w:rPr>
        <w:t xml:space="preserve">  clinical-questions.md</w:t>
      </w:r>
      <w:r>
        <w:rPr>
          <w:rFonts w:ascii="Liberation Mono" w:hAnsi="Liberation Mono" w:eastAsia="Liberation Mono"/>
          <w:sz w:val="18"/>
        </w:rPr>
        <w:br/>
      </w:r>
      <w:r>
        <w:rPr>
          <w:rStyle w:val="VerbatimChar"/>
          <w:rFonts w:ascii="Liberation Mono" w:hAnsi="Liberation Mono" w:eastAsia="Liberation Mono"/>
          <w:sz w:val="18"/>
        </w:rPr>
        <w:t xml:space="preserve">  alternative-explanations.md</w:t>
      </w:r>
      <w:r>
        <w:rPr>
          <w:rFonts w:ascii="Liberation Mono" w:hAnsi="Liberation Mono" w:eastAsia="Liberation Mono"/>
          <w:sz w:val="18"/>
        </w:rPr>
        <w:br/>
      </w:r>
      <w:r>
        <w:rPr>
          <w:rStyle w:val="VerbatimChar"/>
          <w:rFonts w:ascii="Liberation Mono" w:hAnsi="Liberation Mono" w:eastAsia="Liberation Mono"/>
          <w:sz w:val="18"/>
        </w:rPr>
        <w:t xml:space="preserve">02_evidence/</w:t>
      </w:r>
      <w:r>
        <w:rPr>
          <w:rFonts w:ascii="Liberation Mono" w:hAnsi="Liberation Mono" w:eastAsia="Liberation Mono"/>
          <w:sz w:val="18"/>
        </w:rPr>
        <w:br/>
      </w:r>
      <w:r>
        <w:rPr>
          <w:rStyle w:val="VerbatimChar"/>
          <w:rFonts w:ascii="Liberation Mono" w:hAnsi="Liberation Mono" w:eastAsia="Liberation Mono"/>
          <w:sz w:val="18"/>
        </w:rPr>
        <w:t xml:space="preserve">  evidence-register.md</w:t>
      </w:r>
      <w:r>
        <w:rPr>
          <w:rFonts w:ascii="Liberation Mono" w:hAnsi="Liberation Mono" w:eastAsia="Liberation Mono"/>
          <w:sz w:val="18"/>
        </w:rPr>
        <w:br/>
      </w:r>
      <w:r>
        <w:rPr>
          <w:rStyle w:val="VerbatimChar"/>
          <w:rFonts w:ascii="Liberation Mono" w:hAnsi="Liberation Mono" w:eastAsia="Liberation Mono"/>
          <w:sz w:val="18"/>
        </w:rPr>
        <w:t xml:space="preserve">  source-manifests/</w:t>
      </w:r>
      <w:r>
        <w:rPr>
          <w:rFonts w:ascii="Liberation Mono" w:hAnsi="Liberation Mono" w:eastAsia="Liberation Mono"/>
          <w:sz w:val="18"/>
        </w:rPr>
        <w:br/>
      </w:r>
      <w:r>
        <w:rPr>
          <w:rStyle w:val="VerbatimChar"/>
          <w:rFonts w:ascii="Liberation Mono" w:hAnsi="Liberation Mono" w:eastAsia="Liberation Mono"/>
          <w:sz w:val="18"/>
        </w:rPr>
        <w:t xml:space="preserve">    SRC-0001.md</w:t>
      </w:r>
      <w:r>
        <w:rPr>
          <w:rFonts w:ascii="Liberation Mono" w:hAnsi="Liberation Mono" w:eastAsia="Liberation Mono"/>
          <w:sz w:val="18"/>
        </w:rPr>
        <w:br/>
      </w:r>
      <w:r>
        <w:rPr>
          <w:rStyle w:val="VerbatimChar"/>
          <w:rFonts w:ascii="Liberation Mono" w:hAnsi="Liberation Mono" w:eastAsia="Liberation Mono"/>
          <w:sz w:val="18"/>
        </w:rPr>
        <w:t xml:space="preserve">    SRC-0002.md</w:t>
      </w:r>
      <w:r>
        <w:rPr>
          <w:rFonts w:ascii="Liberation Mono" w:hAnsi="Liberation Mono" w:eastAsia="Liberation Mono"/>
          <w:sz w:val="18"/>
        </w:rPr>
        <w:br/>
      </w:r>
      <w:r>
        <w:rPr>
          <w:rStyle w:val="VerbatimChar"/>
          <w:rFonts w:ascii="Liberation Mono" w:hAnsi="Liberation Mono" w:eastAsia="Liberation Mono"/>
          <w:sz w:val="18"/>
        </w:rPr>
        <w:t xml:space="preserve">  version-history.md</w:t>
      </w:r>
      <w:r>
        <w:rPr>
          <w:rFonts w:ascii="Liberation Mono" w:hAnsi="Liberation Mono" w:eastAsia="Liberation Mono"/>
          <w:sz w:val="18"/>
        </w:rPr>
        <w:br/>
      </w:r>
      <w:r>
        <w:rPr>
          <w:rStyle w:val="VerbatimChar"/>
          <w:rFonts w:ascii="Liberation Mono" w:hAnsi="Liberation Mono" w:eastAsia="Liberation Mono"/>
          <w:sz w:val="18"/>
        </w:rPr>
        <w:t xml:space="preserve">  independence-map.md</w:t>
      </w:r>
      <w:r>
        <w:rPr>
          <w:rFonts w:ascii="Liberation Mono" w:hAnsi="Liberation Mono" w:eastAsia="Liberation Mono"/>
          <w:sz w:val="18"/>
        </w:rPr>
        <w:br/>
      </w:r>
      <w:r>
        <w:rPr>
          <w:rStyle w:val="VerbatimChar"/>
          <w:rFonts w:ascii="Liberation Mono" w:hAnsi="Liberation Mono" w:eastAsia="Liberation Mono"/>
          <w:sz w:val="18"/>
        </w:rPr>
        <w:t xml:space="preserve">  authentication-log.md</w:t>
      </w:r>
      <w:r>
        <w:rPr>
          <w:rFonts w:ascii="Liberation Mono" w:hAnsi="Liberation Mono" w:eastAsia="Liberation Mono"/>
          <w:sz w:val="18"/>
        </w:rPr>
        <w:br/>
      </w:r>
      <w:r>
        <w:rPr>
          <w:rStyle w:val="VerbatimChar"/>
          <w:rFonts w:ascii="Liberation Mono" w:hAnsi="Liberation Mono" w:eastAsia="Liberation Mono"/>
          <w:sz w:val="18"/>
        </w:rPr>
        <w:t xml:space="preserve">03_analysis/</w:t>
      </w:r>
      <w:r>
        <w:rPr>
          <w:rFonts w:ascii="Liberation Mono" w:hAnsi="Liberation Mono" w:eastAsia="Liberation Mono"/>
          <w:sz w:val="18"/>
        </w:rPr>
        <w:br/>
      </w:r>
      <w:r>
        <w:rPr>
          <w:rStyle w:val="VerbatimChar"/>
          <w:rFonts w:ascii="Liberation Mono" w:hAnsi="Liberation Mono" w:eastAsia="Liberation Mono"/>
          <w:sz w:val="18"/>
        </w:rPr>
        <w:t xml:space="preserve">  ethics-analysis.md</w:t>
      </w:r>
      <w:r>
        <w:rPr>
          <w:rFonts w:ascii="Liberation Mono" w:hAnsi="Liberation Mono" w:eastAsia="Liberation Mono"/>
          <w:sz w:val="18"/>
        </w:rPr>
        <w:br/>
      </w:r>
      <w:r>
        <w:rPr>
          <w:rStyle w:val="VerbatimChar"/>
          <w:rFonts w:ascii="Liberation Mono" w:hAnsi="Liberation Mono" w:eastAsia="Liberation Mono"/>
          <w:sz w:val="18"/>
        </w:rPr>
        <w:t xml:space="preserve">  falsification-log.md</w:t>
      </w:r>
      <w:r>
        <w:rPr>
          <w:rFonts w:ascii="Liberation Mono" w:hAnsi="Liberation Mono" w:eastAsia="Liberation Mono"/>
          <w:sz w:val="18"/>
        </w:rPr>
        <w:br/>
      </w:r>
      <w:r>
        <w:rPr>
          <w:rStyle w:val="VerbatimChar"/>
          <w:rFonts w:ascii="Liberation Mono" w:hAnsi="Liberation Mono" w:eastAsia="Liberation Mono"/>
          <w:sz w:val="18"/>
        </w:rPr>
        <w:t xml:space="preserve">  concept-ledger.md</w:t>
      </w:r>
      <w:r>
        <w:rPr>
          <w:rFonts w:ascii="Liberation Mono" w:hAnsi="Liberation Mono" w:eastAsia="Liberation Mono"/>
          <w:sz w:val="18"/>
        </w:rPr>
        <w:br/>
      </w:r>
      <w:r>
        <w:rPr>
          <w:rStyle w:val="VerbatimChar"/>
          <w:rFonts w:ascii="Liberation Mono" w:hAnsi="Liberation Mono" w:eastAsia="Liberation Mono"/>
          <w:sz w:val="18"/>
        </w:rPr>
        <w:t xml:space="preserve">  causal-models.md</w:t>
      </w:r>
      <w:r>
        <w:rPr>
          <w:rFonts w:ascii="Liberation Mono" w:hAnsi="Liberation Mono" w:eastAsia="Liberation Mono"/>
          <w:sz w:val="18"/>
        </w:rPr>
        <w:br/>
      </w:r>
      <w:r>
        <w:rPr>
          <w:rStyle w:val="VerbatimChar"/>
          <w:rFonts w:ascii="Liberation Mono" w:hAnsi="Liberation Mono" w:eastAsia="Liberation Mono"/>
          <w:sz w:val="18"/>
        </w:rPr>
        <w:t xml:space="preserve">  external-expert-opinions.md</w:t>
      </w:r>
      <w:r>
        <w:rPr>
          <w:rFonts w:ascii="Liberation Mono" w:hAnsi="Liberation Mono" w:eastAsia="Liberation Mono"/>
          <w:sz w:val="18"/>
        </w:rPr>
        <w:br/>
      </w:r>
      <w:r>
        <w:rPr>
          <w:rStyle w:val="VerbatimChar"/>
          <w:rFonts w:ascii="Liberation Mono" w:hAnsi="Liberation Mono" w:eastAsia="Liberation Mono"/>
          <w:sz w:val="18"/>
        </w:rPr>
        <w:t xml:space="preserve">  competing-analyses.md</w:t>
      </w:r>
      <w:r>
        <w:rPr>
          <w:rFonts w:ascii="Liberation Mono" w:hAnsi="Liberation Mono" w:eastAsia="Liberation Mono"/>
          <w:sz w:val="18"/>
        </w:rPr>
        <w:br/>
      </w:r>
      <w:r>
        <w:rPr>
          <w:rStyle w:val="VerbatimChar"/>
          <w:rFonts w:ascii="Liberation Mono" w:hAnsi="Liberation Mono" w:eastAsia="Liberation Mono"/>
          <w:sz w:val="18"/>
        </w:rPr>
        <w:t xml:space="preserve">04_institutions/</w:t>
      </w:r>
      <w:r>
        <w:rPr>
          <w:rFonts w:ascii="Liberation Mono" w:hAnsi="Liberation Mono" w:eastAsia="Liberation Mono"/>
          <w:sz w:val="18"/>
        </w:rPr>
        <w:br/>
      </w:r>
      <w:r>
        <w:rPr>
          <w:rStyle w:val="VerbatimChar"/>
          <w:rFonts w:ascii="Liberation Mono" w:hAnsi="Liberation Mono" w:eastAsia="Liberation Mono"/>
          <w:sz w:val="18"/>
        </w:rPr>
        <w:t xml:space="preserve">  institution-register.md</w:t>
      </w:r>
      <w:r>
        <w:rPr>
          <w:rFonts w:ascii="Liberation Mono" w:hAnsi="Liberation Mono" w:eastAsia="Liberation Mono"/>
          <w:sz w:val="18"/>
        </w:rPr>
        <w:br/>
      </w:r>
      <w:r>
        <w:rPr>
          <w:rStyle w:val="VerbatimChar"/>
          <w:rFonts w:ascii="Liberation Mono" w:hAnsi="Liberation Mono" w:eastAsia="Liberation Mono"/>
          <w:sz w:val="18"/>
        </w:rPr>
        <w:t xml:space="preserve">  jurisdiction-map.md</w:t>
      </w:r>
      <w:r>
        <w:rPr>
          <w:rFonts w:ascii="Liberation Mono" w:hAnsi="Liberation Mono" w:eastAsia="Liberation Mono"/>
          <w:sz w:val="18"/>
        </w:rPr>
        <w:br/>
      </w:r>
      <w:r>
        <w:rPr>
          <w:rStyle w:val="VerbatimChar"/>
          <w:rFonts w:ascii="Liberation Mono" w:hAnsi="Liberation Mono" w:eastAsia="Liberation Mono"/>
          <w:sz w:val="18"/>
        </w:rPr>
        <w:t xml:space="preserve">  engagement-strategy.md</w:t>
      </w:r>
      <w:r>
        <w:rPr>
          <w:rFonts w:ascii="Liberation Mono" w:hAnsi="Liberation Mono" w:eastAsia="Liberation Mono"/>
          <w:sz w:val="18"/>
        </w:rPr>
        <w:br/>
      </w:r>
      <w:r>
        <w:rPr>
          <w:rStyle w:val="VerbatimChar"/>
          <w:rFonts w:ascii="Liberation Mono" w:hAnsi="Liberation Mono" w:eastAsia="Liberation Mono"/>
          <w:sz w:val="18"/>
        </w:rPr>
        <w:t xml:space="preserve">  engagements/</w:t>
      </w:r>
      <w:r>
        <w:rPr>
          <w:rFonts w:ascii="Liberation Mono" w:hAnsi="Liberation Mono" w:eastAsia="Liberation Mono"/>
          <w:sz w:val="18"/>
        </w:rPr>
        <w:br/>
      </w:r>
      <w:r>
        <w:rPr>
          <w:rStyle w:val="VerbatimChar"/>
          <w:rFonts w:ascii="Liberation Mono" w:hAnsi="Liberation Mono" w:eastAsia="Liberation Mono"/>
          <w:sz w:val="18"/>
        </w:rPr>
        <w:t xml:space="preserve">    medical-council/</w:t>
      </w:r>
      <w:r>
        <w:rPr>
          <w:rFonts w:ascii="Liberation Mono" w:hAnsi="Liberation Mono" w:eastAsia="Liberation Mono"/>
          <w:sz w:val="18"/>
        </w:rPr>
        <w:br/>
      </w:r>
      <w:r>
        <w:rPr>
          <w:rStyle w:val="VerbatimChar"/>
          <w:rFonts w:ascii="Liberation Mono" w:hAnsi="Liberation Mono" w:eastAsia="Liberation Mono"/>
          <w:sz w:val="18"/>
        </w:rPr>
        <w:t xml:space="preserve">      2026-XX-XX-submission.md</w:t>
      </w:r>
      <w:r>
        <w:rPr>
          <w:rFonts w:ascii="Liberation Mono" w:hAnsi="Liberation Mono" w:eastAsia="Liberation Mono"/>
          <w:sz w:val="18"/>
        </w:rPr>
        <w:br/>
      </w:r>
      <w:r>
        <w:rPr>
          <w:rStyle w:val="VerbatimChar"/>
          <w:rFonts w:ascii="Liberation Mono" w:hAnsi="Liberation Mono" w:eastAsia="Liberation Mono"/>
          <w:sz w:val="18"/>
        </w:rPr>
        <w:t xml:space="preserve">      responses.md</w:t>
      </w:r>
      <w:r>
        <w:rPr>
          <w:rFonts w:ascii="Liberation Mono" w:hAnsi="Liberation Mono" w:eastAsia="Liberation Mono"/>
          <w:sz w:val="18"/>
        </w:rPr>
        <w:br/>
      </w:r>
      <w:r>
        <w:rPr>
          <w:rStyle w:val="VerbatimChar"/>
          <w:rFonts w:ascii="Liberation Mono" w:hAnsi="Liberation Mono" w:eastAsia="Liberation Mono"/>
          <w:sz w:val="18"/>
        </w:rPr>
        <w:t xml:space="preserve">    hse-region/</w:t>
      </w:r>
      <w:r>
        <w:rPr>
          <w:rFonts w:ascii="Liberation Mono" w:hAnsi="Liberation Mono" w:eastAsia="Liberation Mono"/>
          <w:sz w:val="18"/>
        </w:rPr>
        <w:br/>
      </w:r>
      <w:r>
        <w:rPr>
          <w:rStyle w:val="VerbatimChar"/>
          <w:rFonts w:ascii="Liberation Mono" w:hAnsi="Liberation Mono" w:eastAsia="Liberation Mono"/>
          <w:sz w:val="18"/>
        </w:rPr>
        <w:t xml:space="preserve">      2026-XX-XX-submission.md</w:t>
      </w:r>
      <w:r>
        <w:rPr>
          <w:rFonts w:ascii="Liberation Mono" w:hAnsi="Liberation Mono" w:eastAsia="Liberation Mono"/>
          <w:sz w:val="18"/>
        </w:rPr>
        <w:br/>
      </w:r>
      <w:r>
        <w:rPr>
          <w:rStyle w:val="VerbatimChar"/>
          <w:rFonts w:ascii="Liberation Mono" w:hAnsi="Liberation Mono" w:eastAsia="Liberation Mono"/>
          <w:sz w:val="18"/>
        </w:rPr>
        <w:t xml:space="preserve">      responses.md</w:t>
      </w:r>
      <w:r>
        <w:rPr>
          <w:rFonts w:ascii="Liberation Mono" w:hAnsi="Liberation Mono" w:eastAsia="Liberation Mono"/>
          <w:sz w:val="18"/>
        </w:rPr>
        <w:br/>
      </w:r>
      <w:r>
        <w:rPr>
          <w:rStyle w:val="VerbatimChar"/>
          <w:rFonts w:ascii="Liberation Mono" w:hAnsi="Liberation Mono" w:eastAsia="Liberation Mono"/>
          <w:sz w:val="18"/>
        </w:rPr>
        <w:t xml:space="preserve">05_standards/</w:t>
      </w:r>
      <w:r>
        <w:rPr>
          <w:rFonts w:ascii="Liberation Mono" w:hAnsi="Liberation Mono" w:eastAsia="Liberation Mono"/>
          <w:sz w:val="18"/>
        </w:rPr>
        <w:br/>
      </w:r>
      <w:r>
        <w:rPr>
          <w:rStyle w:val="VerbatimChar"/>
          <w:rFonts w:ascii="Liberation Mono" w:hAnsi="Liberation Mono" w:eastAsia="Liberation Mono"/>
          <w:sz w:val="18"/>
        </w:rPr>
        <w:t xml:space="preserve">  ireland-professional-ethics.md</w:t>
      </w:r>
      <w:r>
        <w:rPr>
          <w:rFonts w:ascii="Liberation Mono" w:hAnsi="Liberation Mono" w:eastAsia="Liberation Mono"/>
          <w:sz w:val="18"/>
        </w:rPr>
        <w:br/>
      </w:r>
      <w:r>
        <w:rPr>
          <w:rStyle w:val="VerbatimChar"/>
          <w:rFonts w:ascii="Liberation Mono" w:hAnsi="Liberation Mono" w:eastAsia="Liberation Mono"/>
          <w:sz w:val="18"/>
        </w:rPr>
        <w:t xml:space="preserve">  ireland-patient-safety.md</w:t>
      </w:r>
      <w:r>
        <w:rPr>
          <w:rFonts w:ascii="Liberation Mono" w:hAnsi="Liberation Mono" w:eastAsia="Liberation Mono"/>
          <w:sz w:val="18"/>
        </w:rPr>
        <w:br/>
      </w:r>
      <w:r>
        <w:rPr>
          <w:rStyle w:val="VerbatimChar"/>
          <w:rFonts w:ascii="Liberation Mono" w:hAnsi="Liberation Mono" w:eastAsia="Liberation Mono"/>
          <w:sz w:val="18"/>
        </w:rPr>
        <w:t xml:space="preserve">  ireland-health-information.md</w:t>
      </w:r>
      <w:r>
        <w:rPr>
          <w:rFonts w:ascii="Liberation Mono" w:hAnsi="Liberation Mono" w:eastAsia="Liberation Mono"/>
          <w:sz w:val="18"/>
        </w:rPr>
        <w:br/>
      </w:r>
      <w:r>
        <w:rPr>
          <w:rStyle w:val="VerbatimChar"/>
          <w:rFonts w:ascii="Liberation Mono" w:hAnsi="Liberation Mono" w:eastAsia="Liberation Mono"/>
          <w:sz w:val="18"/>
        </w:rPr>
        <w:t xml:space="preserve">  gdpr-and-data-accuracy.md</w:t>
      </w:r>
      <w:r>
        <w:rPr>
          <w:rFonts w:ascii="Liberation Mono" w:hAnsi="Liberation Mono" w:eastAsia="Liberation Mono"/>
          <w:sz w:val="18"/>
        </w:rPr>
        <w:br/>
      </w:r>
      <w:r>
        <w:rPr>
          <w:rStyle w:val="VerbatimChar"/>
          <w:rFonts w:ascii="Liberation Mono" w:hAnsi="Liberation Mono" w:eastAsia="Liberation Mono"/>
          <w:sz w:val="18"/>
        </w:rPr>
        <w:t xml:space="preserve">  eu-bioethics-and-human-rights.md</w:t>
      </w:r>
      <w:r>
        <w:rPr>
          <w:rFonts w:ascii="Liberation Mono" w:hAnsi="Liberation Mono" w:eastAsia="Liberation Mono"/>
          <w:sz w:val="18"/>
        </w:rPr>
        <w:br/>
      </w:r>
      <w:r>
        <w:rPr>
          <w:rStyle w:val="VerbatimChar"/>
          <w:rFonts w:ascii="Liberation Mono" w:hAnsi="Liberation Mono" w:eastAsia="Liberation Mono"/>
          <w:sz w:val="18"/>
        </w:rPr>
        <w:t xml:space="preserve">  global-medical-ethics.md</w:t>
      </w:r>
      <w:r>
        <w:rPr>
          <w:rFonts w:ascii="Liberation Mono" w:hAnsi="Liberation Mono" w:eastAsia="Liberation Mono"/>
          <w:sz w:val="18"/>
        </w:rPr>
        <w:br/>
      </w:r>
      <w:r>
        <w:rPr>
          <w:rStyle w:val="VerbatimChar"/>
          <w:rFonts w:ascii="Liberation Mono" w:hAnsi="Liberation Mono" w:eastAsia="Liberation Mono"/>
          <w:sz w:val="18"/>
        </w:rPr>
        <w:t xml:space="preserve">06_scholarship/</w:t>
      </w:r>
      <w:r>
        <w:rPr>
          <w:rFonts w:ascii="Liberation Mono" w:hAnsi="Liberation Mono" w:eastAsia="Liberation Mono"/>
          <w:sz w:val="18"/>
        </w:rPr>
        <w:br/>
      </w:r>
      <w:r>
        <w:rPr>
          <w:rStyle w:val="VerbatimChar"/>
          <w:rFonts w:ascii="Liberation Mono" w:hAnsi="Liberation Mono" w:eastAsia="Liberation Mono"/>
          <w:sz w:val="18"/>
        </w:rPr>
        <w:t xml:space="preserve">  literature-ledger.md</w:t>
      </w:r>
      <w:r>
        <w:rPr>
          <w:rFonts w:ascii="Liberation Mono" w:hAnsi="Liberation Mono" w:eastAsia="Liberation Mono"/>
          <w:sz w:val="18"/>
        </w:rPr>
        <w:br/>
      </w:r>
      <w:r>
        <w:rPr>
          <w:rStyle w:val="VerbatimChar"/>
          <w:rFonts w:ascii="Liberation Mono" w:hAnsi="Liberation Mono" w:eastAsia="Liberation Mono"/>
          <w:sz w:val="18"/>
        </w:rPr>
        <w:t xml:space="preserve">  diagnostic-safety-watch.md</w:t>
      </w:r>
      <w:r>
        <w:rPr>
          <w:rFonts w:ascii="Liberation Mono" w:hAnsi="Liberation Mono" w:eastAsia="Liberation Mono"/>
          <w:sz w:val="18"/>
        </w:rPr>
        <w:br/>
      </w:r>
      <w:r>
        <w:rPr>
          <w:rStyle w:val="VerbatimChar"/>
          <w:rFonts w:ascii="Liberation Mono" w:hAnsi="Liberation Mono" w:eastAsia="Liberation Mono"/>
          <w:sz w:val="18"/>
        </w:rPr>
        <w:t xml:space="preserve">  epistemic-injustice-watch.md</w:t>
      </w:r>
      <w:r>
        <w:rPr>
          <w:rFonts w:ascii="Liberation Mono" w:hAnsi="Liberation Mono" w:eastAsia="Liberation Mono"/>
          <w:sz w:val="18"/>
        </w:rPr>
        <w:br/>
      </w:r>
      <w:r>
        <w:rPr>
          <w:rStyle w:val="VerbatimChar"/>
          <w:rFonts w:ascii="Liberation Mono" w:hAnsi="Liberation Mono" w:eastAsia="Liberation Mono"/>
          <w:sz w:val="18"/>
        </w:rPr>
        <w:t xml:space="preserve">  health-informatics-watch.md</w:t>
      </w:r>
      <w:r>
        <w:rPr>
          <w:rFonts w:ascii="Liberation Mono" w:hAnsi="Liberation Mono" w:eastAsia="Liberation Mono"/>
          <w:sz w:val="18"/>
        </w:rPr>
        <w:br/>
      </w:r>
      <w:r>
        <w:rPr>
          <w:rStyle w:val="VerbatimChar"/>
          <w:rFonts w:ascii="Liberation Mono" w:hAnsi="Liberation Mono" w:eastAsia="Liberation Mono"/>
          <w:sz w:val="18"/>
        </w:rPr>
        <w:t xml:space="preserve">  conferences-and-calls.md</w:t>
      </w:r>
      <w:r>
        <w:rPr>
          <w:rFonts w:ascii="Liberation Mono" w:hAnsi="Liberation Mono" w:eastAsia="Liberation Mono"/>
          <w:sz w:val="18"/>
        </w:rPr>
        <w:br/>
      </w:r>
      <w:r>
        <w:rPr>
          <w:rStyle w:val="VerbatimChar"/>
          <w:rFonts w:ascii="Liberation Mono" w:hAnsi="Liberation Mono" w:eastAsia="Liberation Mono"/>
          <w:sz w:val="18"/>
        </w:rPr>
        <w:t xml:space="preserve">07_publication/</w:t>
      </w:r>
      <w:r>
        <w:rPr>
          <w:rFonts w:ascii="Liberation Mono" w:hAnsi="Liberation Mono" w:eastAsia="Liberation Mono"/>
          <w:sz w:val="18"/>
        </w:rPr>
        <w:br/>
      </w:r>
      <w:r>
        <w:rPr>
          <w:rStyle w:val="VerbatimChar"/>
          <w:rFonts w:ascii="Liberation Mono" w:hAnsi="Liberation Mono" w:eastAsia="Liberation Mono"/>
          <w:sz w:val="18"/>
        </w:rPr>
        <w:t xml:space="preserve">  public-timeline.md</w:t>
      </w:r>
      <w:r>
        <w:rPr>
          <w:rFonts w:ascii="Liberation Mono" w:hAnsi="Liberation Mono" w:eastAsia="Liberation Mono"/>
          <w:sz w:val="18"/>
        </w:rPr>
        <w:br/>
      </w:r>
      <w:r>
        <w:rPr>
          <w:rStyle w:val="VerbatimChar"/>
          <w:rFonts w:ascii="Liberation Mono" w:hAnsi="Liberation Mono" w:eastAsia="Liberation Mono"/>
          <w:sz w:val="18"/>
        </w:rPr>
        <w:t xml:space="preserve">  claims-cleared-for-publication.md</w:t>
      </w:r>
      <w:r>
        <w:rPr>
          <w:rFonts w:ascii="Liberation Mono" w:hAnsi="Liberation Mono" w:eastAsia="Liberation Mono"/>
          <w:sz w:val="18"/>
        </w:rPr>
        <w:br/>
      </w:r>
      <w:r>
        <w:rPr>
          <w:rStyle w:val="VerbatimChar"/>
          <w:rFonts w:ascii="Liberation Mono" w:hAnsi="Liberation Mono" w:eastAsia="Liberation Mono"/>
          <w:sz w:val="18"/>
        </w:rPr>
        <w:t xml:space="preserve">  source-citation-map.md</w:t>
      </w:r>
      <w:r>
        <w:rPr>
          <w:rFonts w:ascii="Liberation Mono" w:hAnsi="Liberation Mono" w:eastAsia="Liberation Mono"/>
          <w:sz w:val="18"/>
        </w:rPr>
        <w:br/>
      </w:r>
      <w:r>
        <w:rPr>
          <w:rStyle w:val="VerbatimChar"/>
          <w:rFonts w:ascii="Liberation Mono" w:hAnsi="Liberation Mono" w:eastAsia="Liberation Mono"/>
          <w:sz w:val="18"/>
        </w:rPr>
        <w:t xml:space="preserve">  corrections-log.md</w:t>
      </w:r>
      <w:r>
        <w:rPr>
          <w:rFonts w:ascii="Liberation Mono" w:hAnsi="Liberation Mono" w:eastAsia="Liberation Mono"/>
          <w:sz w:val="18"/>
        </w:rPr>
        <w:br/>
      </w:r>
      <w:r>
        <w:rPr>
          <w:rStyle w:val="VerbatimChar"/>
          <w:rFonts w:ascii="Liberation Mono" w:hAnsi="Liberation Mono" w:eastAsia="Liberation Mono"/>
          <w:sz w:val="18"/>
        </w:rPr>
        <w:t xml:space="preserve">  release-notes.md</w:t>
      </w:r>
    </w:p>
    <w:bookmarkEnd w:id="149"/>
    <w:bookmarkStart w:id="150" w:name="source-manifest-schema"/>
    <w:p>
      <w:pPr>
        <w:pStyle w:val="Heading2"/>
        <w:keepNext/>
      </w:pPr>
      <w:r>
        <w:rPr>
          <w:rFonts w:ascii="Liberation Sans" w:hAnsi="Liberation Sans" w:eastAsia="Liberation Sans"/>
        </w:rPr>
        <w:t xml:space="preserve">Source-manifest schema</w:t>
      </w:r>
    </w:p>
    <w:p>
      <w:pPr>
        <w:pStyle w:val="FirstParagraph"/>
      </w:pPr>
      <w:r>
        <w:rPr>
          <w:rFonts w:ascii="Liberation Sans" w:hAnsi="Liberation Sans" w:eastAsia="Liberation Sans"/>
        </w:rPr>
        <w:t xml:space="preserve">Every source file should have a companion manifest with machine-readable front matter:</w:t>
      </w:r>
    </w:p>
    <w:p>
      <w:pPr>
        <w:pStyle w:val="SourceCode"/>
      </w:pPr>
      <w:r>
        <w:rPr>
          <w:rStyle w:val="FunctionTok"/>
          <w:rFonts w:ascii="Liberation Mono" w:hAnsi="Liberation Mono" w:eastAsia="Liberation Mono"/>
          <w:sz w:val="18"/>
        </w:rPr>
        <w:t xml:space="preserve">source_id</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SRC-0001</w:t>
      </w:r>
      <w:r>
        <w:rPr>
          <w:rFonts w:ascii="Liberation Mono" w:hAnsi="Liberation Mono" w:eastAsia="Liberation Mono"/>
          <w:sz w:val="18"/>
        </w:rPr>
        <w:br/>
      </w:r>
      <w:r>
        <w:rPr>
          <w:rStyle w:val="FunctionTok"/>
          <w:rFonts w:ascii="Liberation Mono" w:hAnsi="Liberation Mono" w:eastAsia="Liberation Mono"/>
          <w:sz w:val="18"/>
        </w:rPr>
        <w:t xml:space="preserve">title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source_type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clinical_record | letter | email | audit_log | policy | expert_report | testimony</w:t>
      </w:r>
      <w:r>
        <w:rPr>
          <w:rFonts w:ascii="Liberation Mono" w:hAnsi="Liberation Mono" w:eastAsia="Liberation Mono"/>
          <w:sz w:val="18"/>
        </w:rPr>
        <w:br/>
      </w:r>
      <w:r>
        <w:rPr>
          <w:rStyle w:val="FunctionTok"/>
          <w:rFonts w:ascii="Liberation Mono" w:hAnsi="Liberation Mono" w:eastAsia="Liberation Mono"/>
          <w:sz w:val="18"/>
        </w:rPr>
        <w:t xml:space="preserve">custodian</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author</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created_at</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received_at</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version</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sha256</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authentication_status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unverified | provisionally_verified | verified | disputed</w:t>
      </w:r>
      <w:r>
        <w:rPr>
          <w:rFonts w:ascii="Liberation Mono" w:hAnsi="Liberation Mono" w:eastAsia="Liberation Mono"/>
          <w:sz w:val="18"/>
        </w:rPr>
        <w:br/>
      </w:r>
      <w:r>
        <w:rPr>
          <w:rStyle w:val="FunctionTok"/>
          <w:rFonts w:ascii="Liberation Mono" w:hAnsi="Liberation Mono" w:eastAsia="Liberation Mono"/>
          <w:sz w:val="18"/>
        </w:rPr>
        <w:t xml:space="preserve">provenance_chain</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confidentiality</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restricted | private | publishable_redacted | public</w:t>
      </w:r>
      <w:r>
        <w:rPr>
          <w:rFonts w:ascii="Liberation Mono" w:hAnsi="Liberation Mono" w:eastAsia="Liberation Mono"/>
          <w:sz w:val="18"/>
        </w:rPr>
        <w:br/>
      </w:r>
      <w:r>
        <w:rPr>
          <w:rStyle w:val="FunctionTok"/>
          <w:rFonts w:ascii="Liberation Mono" w:hAnsi="Liberation Mono" w:eastAsia="Liberation Mono"/>
          <w:sz w:val="18"/>
        </w:rPr>
        <w:t xml:space="preserve">redaction_status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none | draft | cleared</w:t>
      </w:r>
      <w:r>
        <w:rPr>
          <w:rFonts w:ascii="Liberation Mono" w:hAnsi="Liberation Mono" w:eastAsia="Liberation Mono"/>
          <w:sz w:val="18"/>
        </w:rPr>
        <w:br/>
      </w:r>
      <w:r>
        <w:rPr>
          <w:rStyle w:val="FunctionTok"/>
          <w:rFonts w:ascii="Liberation Mono" w:hAnsi="Liberation Mono" w:eastAsia="Liberation Mono"/>
          <w:sz w:val="18"/>
        </w:rPr>
        <w:t xml:space="preserve">independence_class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independent | partially_inherited | derivative | unknown</w:t>
      </w:r>
      <w:r>
        <w:rPr>
          <w:rFonts w:ascii="Liberation Mono" w:hAnsi="Liberation Mono" w:eastAsia="Liberation Mono"/>
          <w:sz w:val="18"/>
        </w:rPr>
        <w:br/>
      </w:r>
      <w:r>
        <w:rPr>
          <w:rStyle w:val="FunctionTok"/>
          <w:rFonts w:ascii="Liberation Mono" w:hAnsi="Liberation Mono" w:eastAsia="Liberation Mono"/>
          <w:sz w:val="18"/>
        </w:rPr>
        <w:t xml:space="preserve">cited_propositions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notes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p>
    <w:p>
      <w:pPr>
        <w:pStyle w:val="FirstParagraph"/>
      </w:pPr>
      <w:r>
        <w:rPr>
          <w:rFonts w:ascii="Liberation Sans" w:hAnsi="Liberation Sans" w:eastAsia="Liberation Sans"/>
        </w:rPr>
        <w:t xml:space="preserve">The SHA-256 hash should be calculated on the preserved original byte stream. Derived OCR, redacted copies and working annotations should have their own identifiers and links to the preserved original.</w:t>
      </w:r>
    </w:p>
    <w:bookmarkEnd w:id="150"/>
    <w:bookmarkStart w:id="151" w:name="proposition-ledger"/>
    <w:p>
      <w:pPr>
        <w:pStyle w:val="Heading2"/>
        <w:keepNext/>
      </w:pPr>
      <w:r>
        <w:rPr>
          <w:rFonts w:ascii="Liberation Sans" w:hAnsi="Liberation Sans" w:eastAsia="Liberation Sans"/>
        </w:rPr>
        <w:t xml:space="preserve">Proposition ledger</w:t>
      </w:r>
    </w:p>
    <w:p>
      <w:pPr>
        <w:pStyle w:val="FirstParagraph"/>
      </w:pPr>
      <w:r>
        <w:rPr>
          <w:rFonts w:ascii="Liberation Sans" w:hAnsi="Liberation Sans" w:eastAsia="Liberation Sans"/>
        </w:rPr>
        <w:t xml:space="preserve">The proposition ledger is the core anti-confirmation mechanism. Each proposition should have:</w:t>
      </w:r>
    </w:p>
    <w:p>
      <w:pPr>
        <w:pStyle w:val="SourceCode"/>
      </w:pPr>
      <w:r>
        <w:rPr>
          <w:rStyle w:val="FunctionTok"/>
          <w:rFonts w:ascii="Liberation Mono" w:hAnsi="Liberation Mono" w:eastAsia="Liberation Mono"/>
          <w:sz w:val="18"/>
        </w:rPr>
        <w:t xml:space="preserve">proposition_id</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P-001</w:t>
      </w:r>
      <w:r>
        <w:rPr>
          <w:rFonts w:ascii="Liberation Mono" w:hAnsi="Liberation Mono" w:eastAsia="Liberation Mono"/>
          <w:sz w:val="18"/>
        </w:rPr>
        <w:br/>
      </w:r>
      <w:r>
        <w:rPr>
          <w:rStyle w:val="FunctionTok"/>
          <w:rFonts w:ascii="Liberation Mono" w:hAnsi="Liberation Mono" w:eastAsia="Liberation Mono"/>
          <w:sz w:val="18"/>
        </w:rPr>
        <w:t xml:space="preserve">text</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status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documentary_fact | patient_evidence | assumed_premise | inference | clinical_expert_question | provenance_question | ethical_conclusion | regulatory_question | legal_question | subjective_intent</w:t>
      </w:r>
      <w:r>
        <w:rPr>
          <w:rFonts w:ascii="Liberation Mono" w:hAnsi="Liberation Mono" w:eastAsia="Liberation Mono"/>
          <w:sz w:val="18"/>
        </w:rPr>
        <w:br/>
      </w:r>
      <w:r>
        <w:rPr>
          <w:rStyle w:val="FunctionTok"/>
          <w:rFonts w:ascii="Liberation Mono" w:hAnsi="Liberation Mono" w:eastAsia="Liberation Mono"/>
          <w:sz w:val="18"/>
        </w:rPr>
        <w:t xml:space="preserve">supports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contradicts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depends_on</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known_alternatives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falsifiers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confidence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low | medium | high | not_applicable</w:t>
      </w:r>
      <w:r>
        <w:rPr>
          <w:rFonts w:ascii="Liberation Mono" w:hAnsi="Liberation Mono" w:eastAsia="Liberation Mono"/>
          <w:sz w:val="18"/>
        </w:rPr>
        <w:br/>
      </w:r>
      <w:r>
        <w:rPr>
          <w:rStyle w:val="FunctionTok"/>
          <w:rFonts w:ascii="Liberation Mono" w:hAnsi="Liberation Mono" w:eastAsia="Liberation Mono"/>
          <w:sz w:val="18"/>
        </w:rPr>
        <w:t xml:space="preserve">public_status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private | redacted | publishable</w:t>
      </w:r>
      <w:r>
        <w:rPr>
          <w:rFonts w:ascii="Liberation Mono" w:hAnsi="Liberation Mono" w:eastAsia="Liberation Mono"/>
          <w:sz w:val="18"/>
        </w:rPr>
        <w:br/>
      </w:r>
      <w:r>
        <w:rPr>
          <w:rStyle w:val="FunctionTok"/>
          <w:rFonts w:ascii="Liberation Mono" w:hAnsi="Liberation Mono" w:eastAsia="Liberation Mono"/>
          <w:sz w:val="18"/>
        </w:rPr>
        <w:t xml:space="preserve">last_reviewed</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YYYY-MM-DD</w:t>
      </w:r>
      <w:r>
        <w:rPr>
          <w:rFonts w:ascii="Liberation Mono" w:hAnsi="Liberation Mono" w:eastAsia="Liberation Mono"/>
          <w:sz w:val="18"/>
        </w:rPr>
        <w:br/>
      </w:r>
      <w:r>
        <w:rPr>
          <w:rStyle w:val="FunctionTok"/>
          <w:rFonts w:ascii="Liberation Mono" w:hAnsi="Liberation Mono" w:eastAsia="Liberation Mono"/>
          <w:sz w:val="18"/>
        </w:rPr>
        <w:t xml:space="preserve">reviewer</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p>
    <w:p>
      <w:pPr>
        <w:pStyle w:val="FirstParagraph"/>
      </w:pPr>
      <w:r>
        <w:rPr>
          <w:rFonts w:ascii="Liberation Sans" w:hAnsi="Liberation Sans" w:eastAsia="Liberation Sans"/>
        </w:rPr>
        <w:t xml:space="preserve">No proposition should be promoted from allegation to fact merely because it appears in multiple downstream notes. The</w:t>
      </w:r>
      <w:r>
        <w:rPr>
          <w:rFonts w:ascii="Liberation Sans" w:hAnsi="Liberation Sans" w:eastAsia="Liberation Sans"/>
        </w:rPr>
        <w:t xml:space="preserve"> </w:t>
      </w:r>
      <w:r>
        <w:rPr>
          <w:rFonts w:ascii="Liberation Sans" w:hAnsi="Liberation Sans" w:eastAsia="Liberation Sans"/>
          <w:b/>
          <w:bCs/>
        </w:rPr>
        <w:t xml:space="preserve">independence class of supporting evidence must be visible beside the proposition</w:t>
      </w:r>
      <w:r>
        <w:rPr>
          <w:rFonts w:ascii="Liberation Sans" w:hAnsi="Liberation Sans" w:eastAsia="Liberation Sans"/>
        </w:rPr>
        <w:t xml:space="preserve">.</w:t>
      </w:r>
    </w:p>
    <w:bookmarkEnd w:id="151"/>
    <w:bookmarkStart w:id="152" w:name="phrase-provenance-register"/>
    <w:p>
      <w:pPr>
        <w:pStyle w:val="Heading2"/>
        <w:keepNext/>
      </w:pPr>
      <w:r>
        <w:rPr>
          <w:rFonts w:ascii="Liberation Sans" w:hAnsi="Liberation Sans" w:eastAsia="Liberation Sans"/>
        </w:rPr>
        <w:t xml:space="preserve">Phrase-provenance register</w:t>
      </w:r>
    </w:p>
    <w:p>
      <w:pPr>
        <w:pStyle w:val="FirstParagraph"/>
      </w:pPr>
      <w:r>
        <w:rPr>
          <w:rFonts w:ascii="Liberation Sans" w:hAnsi="Liberation Sans" w:eastAsia="Liberation Sans"/>
        </w:rPr>
        <w:t xml:space="preserve">Because the allegation turns partly on microconstruction, maintain a table for each disputed phrase:</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879"/>
        <w:gridCol w:w="879"/>
        <w:gridCol w:w="879"/>
        <w:gridCol w:w="879"/>
        <w:gridCol w:w="879"/>
        <w:gridCol w:w="879"/>
        <w:gridCol w:w="879"/>
        <w:gridCol w:w="879"/>
        <w:gridCol w:w="879"/>
      </w:tblGrid>
      <w:tr>
        <w:trPr>
          <w:tblHeader w:val="on"/>
          <w:tblHeader w:val="true"/>
          <w:cantSplit/>
        </w:trPr>
        <w:tc>
          <w:tcPr>
            <w:vAlign w:val="center"/>
            <w:tcMar>
              <w:top w:w="80" w:type="dxa"/>
              <w:start w:w="85" w:type="dxa"/>
              <w:bottom w:w="80" w:type="dxa"/>
              <w:end w:w="85" w:type="dxa"/>
            </w:tcMar>
            <w:tcW w:type="dxa" w:w="1584"/>
            <w:shd w:fill="E9EDF2"/>
          </w:tcPr>
          <w:p>
            <w:pPr>
              <w:pStyle w:val="Compact"/>
              <w:spacing w:before="0" w:after="50" w:line="240" w:lineRule="auto"/>
              <w:jc w:val="left"/>
            </w:pPr>
            <w:r>
              <w:rPr>
                <w:rFonts w:ascii="Liberation Sans" w:hAnsi="Liberation Sans" w:eastAsia="Liberation Sans"/>
                <w:b/>
                <w:sz w:val="16"/>
              </w:rPr>
              <w:t xml:space="preserve">Phrase</w:t>
            </w:r>
          </w:p>
        </w:tc>
        <w:tc>
          <w:tcPr>
            <w:vAlign w:val="center"/>
            <w:tcMar>
              <w:top w:w="80" w:type="dxa"/>
              <w:start w:w="85" w:type="dxa"/>
              <w:bottom w:w="80" w:type="dxa"/>
              <w:end w:w="85" w:type="dxa"/>
            </w:tcMar>
            <w:tcW w:type="dxa" w:w="1440"/>
            <w:shd w:fill="E9EDF2"/>
          </w:tcPr>
          <w:p>
            <w:pPr>
              <w:pStyle w:val="Compact"/>
              <w:spacing w:before="0" w:after="50" w:line="240" w:lineRule="auto"/>
              <w:jc w:val="left"/>
            </w:pPr>
            <w:r>
              <w:rPr>
                <w:rFonts w:ascii="Liberation Sans" w:hAnsi="Liberation Sans" w:eastAsia="Liberation Sans"/>
                <w:b/>
                <w:sz w:val="16"/>
              </w:rPr>
              <w:t xml:space="preserve">First authenticated occurrence</w:t>
            </w:r>
          </w:p>
        </w:tc>
        <w:tc>
          <w:tcPr>
            <w:vAlign w:val="center"/>
            <w:tcMar>
              <w:top w:w="80" w:type="dxa"/>
              <w:start w:w="85" w:type="dxa"/>
              <w:bottom w:w="80" w:type="dxa"/>
              <w:end w:w="85" w:type="dxa"/>
            </w:tcMar>
            <w:tcW w:type="dxa" w:w="1368"/>
            <w:shd w:fill="E9EDF2"/>
          </w:tcPr>
          <w:p>
            <w:pPr>
              <w:pStyle w:val="Compact"/>
              <w:spacing w:before="0" w:after="50" w:line="240" w:lineRule="auto"/>
              <w:jc w:val="left"/>
            </w:pPr>
            <w:r>
              <w:rPr>
                <w:rFonts w:ascii="Liberation Sans" w:hAnsi="Liberation Sans" w:eastAsia="Liberation Sans"/>
                <w:b/>
                <w:sz w:val="16"/>
              </w:rPr>
              <w:t xml:space="preserve">Author/source</w:t>
            </w:r>
          </w:p>
        </w:tc>
        <w:tc>
          <w:tcPr>
            <w:vAlign w:val="center"/>
            <w:tcMar>
              <w:top w:w="80" w:type="dxa"/>
              <w:start w:w="85" w:type="dxa"/>
              <w:bottom w:w="80" w:type="dxa"/>
              <w:end w:w="85" w:type="dxa"/>
            </w:tcMar>
            <w:tcW w:type="dxa" w:w="1440"/>
            <w:shd w:fill="E9EDF2"/>
          </w:tcPr>
          <w:p>
            <w:pPr>
              <w:pStyle w:val="Compact"/>
              <w:spacing w:before="0" w:after="50" w:line="240" w:lineRule="auto"/>
              <w:jc w:val="left"/>
            </w:pPr>
            <w:r>
              <w:rPr>
                <w:rFonts w:ascii="Liberation Sans" w:hAnsi="Liberation Sans" w:eastAsia="Liberation Sans"/>
                <w:b/>
                <w:sz w:val="16"/>
              </w:rPr>
              <w:t xml:space="preserve">Precursor wording</w:t>
            </w:r>
          </w:p>
        </w:tc>
        <w:tc>
          <w:tcPr>
            <w:vAlign w:val="center"/>
            <w:tcMar>
              <w:top w:w="80" w:type="dxa"/>
              <w:start w:w="85" w:type="dxa"/>
              <w:bottom w:w="80" w:type="dxa"/>
              <w:end w:w="85" w:type="dxa"/>
            </w:tcMar>
            <w:tcW w:type="dxa" w:w="1224"/>
            <w:shd w:fill="E9EDF2"/>
          </w:tcPr>
          <w:p>
            <w:pPr>
              <w:pStyle w:val="Compact"/>
              <w:spacing w:before="0" w:after="50" w:line="240" w:lineRule="auto"/>
              <w:jc w:val="left"/>
            </w:pPr>
            <w:r>
              <w:rPr>
                <w:rFonts w:ascii="Liberation Sans" w:hAnsi="Liberation Sans" w:eastAsia="Liberation Sans"/>
                <w:b/>
                <w:sz w:val="16"/>
              </w:rPr>
              <w:t xml:space="preserve">Patient wording available?</w:t>
            </w:r>
          </w:p>
        </w:tc>
        <w:tc>
          <w:tcPr>
            <w:vAlign w:val="center"/>
            <w:tcMar>
              <w:top w:w="80" w:type="dxa"/>
              <w:start w:w="85" w:type="dxa"/>
              <w:bottom w:w="80" w:type="dxa"/>
              <w:end w:w="85" w:type="dxa"/>
            </w:tcMar>
            <w:tcW w:type="dxa" w:w="1080"/>
            <w:shd w:fill="E9EDF2"/>
          </w:tcPr>
          <w:p>
            <w:pPr>
              <w:pStyle w:val="Compact"/>
              <w:spacing w:before="0" w:after="50" w:line="240" w:lineRule="auto"/>
              <w:jc w:val="left"/>
            </w:pPr>
            <w:r>
              <w:rPr>
                <w:rFonts w:ascii="Liberation Sans" w:hAnsi="Liberation Sans" w:eastAsia="Liberation Sans"/>
                <w:b/>
                <w:sz w:val="16"/>
              </w:rPr>
              <w:t xml:space="preserve">Copied later?</w:t>
            </w:r>
          </w:p>
        </w:tc>
        <w:tc>
          <w:tcPr>
            <w:vAlign w:val="center"/>
            <w:tcMar>
              <w:top w:w="80" w:type="dxa"/>
              <w:start w:w="85" w:type="dxa"/>
              <w:bottom w:w="80" w:type="dxa"/>
              <w:end w:w="85" w:type="dxa"/>
            </w:tcMar>
            <w:tcW w:type="dxa" w:w="1800"/>
            <w:shd w:fill="E9EDF2"/>
          </w:tcPr>
          <w:p>
            <w:pPr>
              <w:pStyle w:val="Compact"/>
              <w:spacing w:before="0" w:after="50" w:line="240" w:lineRule="auto"/>
              <w:jc w:val="left"/>
            </w:pPr>
            <w:r>
              <w:rPr>
                <w:rFonts w:ascii="Liberation Sans" w:hAnsi="Liberation Sans" w:eastAsia="Liberation Sans"/>
                <w:b/>
                <w:sz w:val="16"/>
              </w:rPr>
              <w:t xml:space="preserve">Clinical function alleged</w:t>
            </w:r>
          </w:p>
        </w:tc>
        <w:tc>
          <w:tcPr>
            <w:vAlign w:val="center"/>
            <w:tcMar>
              <w:top w:w="80" w:type="dxa"/>
              <w:start w:w="85" w:type="dxa"/>
              <w:bottom w:w="80" w:type="dxa"/>
              <w:end w:w="85" w:type="dxa"/>
            </w:tcMar>
            <w:tcW w:type="dxa" w:w="1872"/>
            <w:shd w:fill="E9EDF2"/>
          </w:tcPr>
          <w:p>
            <w:pPr>
              <w:pStyle w:val="Compact"/>
              <w:spacing w:before="0" w:after="50" w:line="240" w:lineRule="auto"/>
              <w:jc w:val="left"/>
            </w:pPr>
            <w:r>
              <w:rPr>
                <w:rFonts w:ascii="Liberation Sans" w:hAnsi="Liberation Sans" w:eastAsia="Liberation Sans"/>
                <w:b/>
                <w:sz w:val="16"/>
              </w:rPr>
              <w:t xml:space="preserve">Innocent alternative explanation</w:t>
            </w:r>
          </w:p>
        </w:tc>
        <w:tc>
          <w:tcPr>
            <w:vAlign w:val="center"/>
            <w:tcMar>
              <w:top w:w="80" w:type="dxa"/>
              <w:start w:w="85" w:type="dxa"/>
              <w:bottom w:w="80" w:type="dxa"/>
              <w:end w:w="85" w:type="dxa"/>
            </w:tcMar>
            <w:tcW w:type="dxa" w:w="936"/>
            <w:shd w:fill="E9EDF2"/>
          </w:tcPr>
          <w:p>
            <w:pPr>
              <w:pStyle w:val="Compact"/>
              <w:spacing w:before="0" w:after="50" w:line="240" w:lineRule="auto"/>
              <w:jc w:val="left"/>
            </w:pPr>
            <w:r>
              <w:rPr>
                <w:rFonts w:ascii="Liberation Sans" w:hAnsi="Liberation Sans" w:eastAsia="Liberation Sans"/>
                <w:b/>
                <w:sz w:val="16"/>
              </w:rPr>
              <w:t xml:space="preserve">Status</w:t>
            </w:r>
          </w:p>
        </w:tc>
      </w:tr>
      <w:tr>
        <w:trPr>
          <w:cantSplit/>
        </w:trPr>
        <w:tc>
          <w:tcPr>
            <w:vAlign w:val="center"/>
            <w:tcW w:type="dxa" w:w="158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w:t>
            </w:r>
            <w:r>
              <w:rPr>
                <w:rFonts w:ascii="Liberation Sans" w:hAnsi="Liberation Sans" w:eastAsia="Liberation Sans"/>
                <w:sz w:val="16"/>
              </w:rPr>
              <w:t xml:space="preserve">leg pain</w:t>
            </w:r>
            <w:r>
              <w:rPr>
                <w:rFonts w:ascii="Liberation Sans" w:hAnsi="Liberation Sans" w:eastAsia="Liberation Sans"/>
                <w:sz w:val="16"/>
              </w:rPr>
              <w:t xml:space="preserve">”</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36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w:t>
            </w:r>
            <w:r>
              <w:rPr>
                <w:rFonts w:ascii="Liberation Sans" w:hAnsi="Liberation Sans" w:eastAsia="Liberation Sans"/>
                <w:sz w:val="16"/>
              </w:rPr>
              <w:t xml:space="preserve">foot pain</w:t>
            </w:r>
            <w:r>
              <w:rPr>
                <w:rFonts w:ascii="Liberation Sans" w:hAnsi="Liberation Sans" w:eastAsia="Liberation Sans"/>
                <w:sz w:val="16"/>
              </w:rPr>
              <w:t xml:space="preserve">”</w:t>
            </w:r>
            <w:r>
              <w:rPr>
                <w:rFonts w:ascii="Liberation Sans" w:hAnsi="Liberation Sans" w:eastAsia="Liberation Sans"/>
                <w:sz w:val="16"/>
              </w:rPr>
              <w:t xml:space="preserve"> </w:t>
            </w:r>
            <w:r>
              <w:rPr>
                <w:rFonts w:ascii="Liberation Sans" w:hAnsi="Liberation Sans" w:eastAsia="Liberation Sans"/>
                <w:sz w:val="16"/>
              </w:rPr>
              <w:t xml:space="preserve">/ other</w:t>
            </w:r>
          </w:p>
        </w:tc>
        <w:tc>
          <w:tcPr>
            <w:vAlign w:val="center"/>
            <w:tcW w:type="dxa" w:w="122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0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Topological recoding</w:t>
            </w:r>
          </w:p>
        </w:tc>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Ordinary shorthand</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Open</w:t>
            </w:r>
          </w:p>
        </w:tc>
      </w:tr>
      <w:tr>
        <w:trPr>
          <w:cantSplit/>
        </w:trPr>
        <w:tc>
          <w:tcPr>
            <w:vAlign w:val="center"/>
            <w:tcW w:type="dxa" w:w="158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w:t>
            </w:r>
            <w:r>
              <w:rPr>
                <w:rFonts w:ascii="Liberation Sans" w:hAnsi="Liberation Sans" w:eastAsia="Liberation Sans"/>
                <w:sz w:val="16"/>
              </w:rPr>
              <w:t xml:space="preserve">burning</w:t>
            </w:r>
            <w:r>
              <w:rPr>
                <w:rFonts w:ascii="Liberation Sans" w:hAnsi="Liberation Sans" w:eastAsia="Liberation Sans"/>
                <w:sz w:val="16"/>
              </w:rPr>
              <w:t xml:space="preserve">”</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36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22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0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Neuropathy-compatible quality</w:t>
            </w:r>
          </w:p>
        </w:tc>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Accurate sensory history</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Open</w:t>
            </w:r>
          </w:p>
        </w:tc>
      </w:tr>
      <w:tr>
        <w:trPr>
          <w:cantSplit/>
        </w:trPr>
        <w:tc>
          <w:tcPr>
            <w:vAlign w:val="center"/>
            <w:tcW w:type="dxa" w:w="158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w:t>
            </w:r>
            <w:r>
              <w:rPr>
                <w:rFonts w:ascii="Liberation Sans" w:hAnsi="Liberation Sans" w:eastAsia="Liberation Sans"/>
                <w:sz w:val="16"/>
              </w:rPr>
              <w:t xml:space="preserve">markedly divorced</w:t>
            </w:r>
            <w:r>
              <w:rPr>
                <w:rFonts w:ascii="Liberation Sans" w:hAnsi="Liberation Sans" w:eastAsia="Liberation Sans"/>
                <w:sz w:val="16"/>
              </w:rPr>
              <w:t xml:space="preserve">”</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36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22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0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Strong causal separation</w:t>
            </w:r>
          </w:p>
        </w:tc>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Accurate summary of patient’s distinction</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Open</w:t>
            </w:r>
          </w:p>
        </w:tc>
      </w:tr>
      <w:tr>
        <w:trPr>
          <w:cantSplit/>
        </w:trPr>
        <w:tc>
          <w:tcPr>
            <w:vAlign w:val="center"/>
            <w:tcW w:type="dxa" w:w="158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alcohol → neuropathy</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36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alcohol history</w:t>
            </w:r>
          </w:p>
        </w:tc>
        <w:tc>
          <w:tcPr>
            <w:vAlign w:val="center"/>
            <w:tcW w:type="dxa" w:w="122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n/a</w:t>
            </w:r>
          </w:p>
        </w:tc>
        <w:tc>
          <w:tcPr>
            <w:vAlign w:val="center"/>
            <w:tcW w:type="dxa" w:w="10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Etiological plausibility</w:t>
            </w:r>
          </w:p>
        </w:tc>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Legitimate differential reasoning</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Open</w:t>
            </w:r>
          </w:p>
        </w:tc>
      </w:tr>
      <w:tr>
        <w:trPr>
          <w:cantSplit/>
        </w:trPr>
        <w:tc>
          <w:tcPr>
            <w:vAlign w:val="center"/>
            <w:tcW w:type="dxa" w:w="158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w:t>
            </w:r>
            <w:r>
              <w:rPr>
                <w:rFonts w:ascii="Liberation Sans" w:hAnsi="Liberation Sans" w:eastAsia="Liberation Sans"/>
                <w:sz w:val="16"/>
              </w:rPr>
              <w:t xml:space="preserve">Not clear as this has improved</w:t>
            </w:r>
            <w:r>
              <w:rPr>
                <w:rFonts w:ascii="Liberation Sans" w:hAnsi="Liberation Sans" w:eastAsia="Liberation Sans"/>
                <w:sz w:val="16"/>
              </w:rPr>
              <w:t xml:space="preserve">”</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36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22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n/a</w:t>
            </w:r>
          </w:p>
        </w:tc>
        <w:tc>
          <w:tcPr>
            <w:vAlign w:val="center"/>
            <w:tcW w:type="dxa" w:w="10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Closure-bearing uncertainty</w:t>
            </w:r>
          </w:p>
        </w:tc>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Appropriate deferral after improvement</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Open</w:t>
            </w:r>
          </w:p>
        </w:tc>
      </w:tr>
      <w:tr>
        <w:trPr>
          <w:cantSplit/>
        </w:trPr>
        <w:tc>
          <w:tcPr>
            <w:vAlign w:val="center"/>
            <w:tcW w:type="dxa" w:w="158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w:t>
            </w:r>
            <w:r>
              <w:rPr>
                <w:rFonts w:ascii="Liberation Sans" w:hAnsi="Liberation Sans" w:eastAsia="Liberation Sans"/>
                <w:sz w:val="16"/>
              </w:rPr>
              <w:t xml:space="preserve">the neuropathy question</w:t>
            </w:r>
            <w:r>
              <w:rPr>
                <w:rFonts w:ascii="Liberation Sans" w:hAnsi="Liberation Sans" w:eastAsia="Liberation Sans"/>
                <w:sz w:val="16"/>
              </w:rPr>
              <w:t xml:space="preserve">”</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368"/>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44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genetic differential</w:t>
            </w:r>
          </w:p>
        </w:tc>
        <w:tc>
          <w:tcPr>
            <w:vAlign w:val="center"/>
            <w:tcW w:type="dxa" w:w="1224"/>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n/a</w:t>
            </w:r>
          </w:p>
        </w:tc>
        <w:tc>
          <w:tcPr>
            <w:vAlign w:val="center"/>
            <w:tcW w:type="dxa" w:w="10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TBD</w:t>
            </w:r>
          </w:p>
        </w:tc>
        <w:tc>
          <w:tcPr>
            <w:vAlign w:val="center"/>
            <w:tcW w:type="dxa" w:w="180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Future preservation</w:t>
            </w:r>
          </w:p>
        </w:tc>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Reasonable monogenic differential</w:t>
            </w:r>
          </w:p>
        </w:tc>
        <w:tc>
          <w:tcPr>
            <w:vAlign w:val="center"/>
            <w:tcW w:type="dxa" w:w="93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Open</w:t>
            </w:r>
          </w:p>
        </w:tc>
      </w:tr>
    </w:tbl>
    <w:p>
      <w:pPr>
        <w:pStyle w:val="BodyText"/>
        <w:widowControl/>
      </w:pPr>
      <w:r>
        <w:rPr>
          <w:rFonts w:ascii="Liberation Sans" w:hAnsi="Liberation Sans" w:eastAsia="Liberation Sans"/>
        </w:rPr>
        <w:t xml:space="preserve">This table should never be filled by recollection alone where an authenticated source can answer the provenance question.</w:t>
      </w:r>
    </w:p>
    <w:bookmarkEnd w:id="152"/>
    <w:bookmarkStart w:id="153" w:name="independence-map"/>
    <w:p>
      <w:pPr>
        <w:pStyle w:val="Heading2"/>
        <w:keepNext/>
      </w:pPr>
      <w:r>
        <w:rPr>
          <w:rFonts w:ascii="Liberation Sans" w:hAnsi="Liberation Sans" w:eastAsia="Liberation Sans"/>
        </w:rPr>
        <w:t xml:space="preserve">Independence map</w:t>
      </w:r>
    </w:p>
    <w:p>
      <w:pPr>
        <w:pStyle w:val="FirstParagraph"/>
      </w:pPr>
      <w:r>
        <w:rPr>
          <w:rFonts w:ascii="Liberation Sans" w:hAnsi="Liberation Sans" w:eastAsia="Liberation Sans"/>
        </w:rPr>
        <w:t xml:space="preserve">Every downstream record that bears on the contested relationship should be assigned an independence class and a reason. Useful fields:</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848"/>
        <w:gridCol w:w="848"/>
        <w:gridCol w:w="1131"/>
        <w:gridCol w:w="1131"/>
        <w:gridCol w:w="1131"/>
        <w:gridCol w:w="1131"/>
        <w:gridCol w:w="848"/>
        <w:gridCol w:w="848"/>
      </w:tblGrid>
      <w:tr>
        <w:trPr>
          <w:tblHeader w:val="on"/>
          <w:tblHeader w:val="true"/>
          <w:cantSplit/>
        </w:trPr>
        <w:tc>
          <w:tcPr>
            <w:vAlign w:val="center"/>
            <w:tcMar>
              <w:top w:w="80" w:type="dxa"/>
              <w:start w:w="85" w:type="dxa"/>
              <w:bottom w:w="80" w:type="dxa"/>
              <w:end w:w="85" w:type="dxa"/>
            </w:tcMar>
            <w:tcW w:type="dxa" w:w="1584"/>
            <w:shd w:fill="E9EDF2"/>
          </w:tcPr>
          <w:p>
            <w:pPr>
              <w:pStyle w:val="Compact"/>
              <w:spacing w:before="0" w:after="50" w:line="240" w:lineRule="auto"/>
              <w:jc w:val="left"/>
            </w:pPr>
            <w:r>
              <w:rPr>
                <w:rFonts w:ascii="Liberation Sans" w:hAnsi="Liberation Sans" w:eastAsia="Liberation Sans"/>
                <w:b/>
                <w:sz w:val="16"/>
              </w:rPr>
              <w:t xml:space="preserve">Evidence ID</w:t>
            </w:r>
          </w:p>
        </w:tc>
        <w:tc>
          <w:tcPr>
            <w:vAlign w:val="center"/>
            <w:tcMar>
              <w:top w:w="80" w:type="dxa"/>
              <w:start w:w="85" w:type="dxa"/>
              <w:bottom w:w="80" w:type="dxa"/>
              <w:end w:w="85" w:type="dxa"/>
            </w:tcMar>
            <w:tcW w:type="dxa" w:w="1152"/>
            <w:shd w:fill="E9EDF2"/>
          </w:tcPr>
          <w:p>
            <w:pPr>
              <w:pStyle w:val="Compact"/>
              <w:spacing w:before="0" w:after="50" w:line="240" w:lineRule="auto"/>
              <w:jc w:val="left"/>
            </w:pPr>
            <w:r>
              <w:rPr>
                <w:rFonts w:ascii="Liberation Sans" w:hAnsi="Liberation Sans" w:eastAsia="Liberation Sans"/>
                <w:b/>
                <w:sz w:val="16"/>
              </w:rPr>
              <w:t xml:space="preserve">Date</w:t>
            </w:r>
          </w:p>
        </w:tc>
        <w:tc>
          <w:tcPr>
            <w:vAlign w:val="center"/>
            <w:tcMar>
              <w:top w:w="80" w:type="dxa"/>
              <w:start w:w="85" w:type="dxa"/>
              <w:bottom w:w="80" w:type="dxa"/>
              <w:end w:w="85" w:type="dxa"/>
            </w:tcMar>
            <w:tcW w:type="dxa" w:w="1080"/>
            <w:shd w:fill="E9EDF2"/>
          </w:tcPr>
          <w:p>
            <w:pPr>
              <w:pStyle w:val="Compact"/>
              <w:spacing w:before="0" w:after="50" w:line="240" w:lineRule="auto"/>
              <w:jc w:val="right"/>
            </w:pPr>
            <w:r>
              <w:rPr>
                <w:rFonts w:ascii="Liberation Sans" w:hAnsi="Liberation Sans" w:eastAsia="Liberation Sans"/>
                <w:b/>
                <w:sz w:val="16"/>
              </w:rPr>
              <w:t xml:space="preserve">New raw observation?</w:t>
            </w:r>
          </w:p>
        </w:tc>
        <w:tc>
          <w:tcPr>
            <w:vAlign w:val="center"/>
            <w:tcMar>
              <w:top w:w="80" w:type="dxa"/>
              <w:start w:w="85" w:type="dxa"/>
              <w:bottom w:w="80" w:type="dxa"/>
              <w:end w:w="85" w:type="dxa"/>
            </w:tcMar>
            <w:tcW w:type="dxa" w:w="1296"/>
            <w:shd w:fill="E9EDF2"/>
          </w:tcPr>
          <w:p>
            <w:pPr>
              <w:pStyle w:val="Compact"/>
              <w:spacing w:before="0" w:after="50" w:line="240" w:lineRule="auto"/>
              <w:jc w:val="right"/>
            </w:pPr>
            <w:r>
              <w:rPr>
                <w:rFonts w:ascii="Liberation Sans" w:hAnsi="Liberation Sans" w:eastAsia="Liberation Sans"/>
                <w:b/>
                <w:sz w:val="16"/>
              </w:rPr>
              <w:t xml:space="preserve">Prior challenged summary available?</w:t>
            </w:r>
          </w:p>
        </w:tc>
        <w:tc>
          <w:tcPr>
            <w:vAlign w:val="center"/>
            <w:tcMar>
              <w:top w:w="80" w:type="dxa"/>
              <w:start w:w="85" w:type="dxa"/>
              <w:bottom w:w="80" w:type="dxa"/>
              <w:end w:w="85" w:type="dxa"/>
            </w:tcMar>
            <w:tcW w:type="dxa" w:w="1080"/>
            <w:shd w:fill="E9EDF2"/>
          </w:tcPr>
          <w:p>
            <w:pPr>
              <w:pStyle w:val="Compact"/>
              <w:spacing w:before="0" w:after="50" w:line="240" w:lineRule="auto"/>
              <w:jc w:val="right"/>
            </w:pPr>
            <w:r>
              <w:rPr>
                <w:rFonts w:ascii="Liberation Sans" w:hAnsi="Liberation Sans" w:eastAsia="Liberation Sans"/>
                <w:b/>
                <w:sz w:val="16"/>
              </w:rPr>
              <w:t xml:space="preserve">Copies/repeats wording?</w:t>
            </w:r>
          </w:p>
        </w:tc>
        <w:tc>
          <w:tcPr>
            <w:vAlign w:val="center"/>
            <w:tcMar>
              <w:top w:w="80" w:type="dxa"/>
              <w:start w:w="85" w:type="dxa"/>
              <w:bottom w:w="80" w:type="dxa"/>
              <w:end w:w="85" w:type="dxa"/>
            </w:tcMar>
            <w:tcW w:type="dxa" w:w="1224"/>
            <w:shd w:fill="E9EDF2"/>
          </w:tcPr>
          <w:p>
            <w:pPr>
              <w:pStyle w:val="Compact"/>
              <w:spacing w:before="0" w:after="50" w:line="240" w:lineRule="auto"/>
              <w:jc w:val="right"/>
            </w:pPr>
            <w:r>
              <w:rPr>
                <w:rFonts w:ascii="Liberation Sans" w:hAnsi="Liberation Sans" w:eastAsia="Liberation Sans"/>
                <w:b/>
                <w:sz w:val="16"/>
              </w:rPr>
              <w:t xml:space="preserve">Independent re-examination?</w:t>
            </w:r>
          </w:p>
        </w:tc>
        <w:tc>
          <w:tcPr>
            <w:vAlign w:val="center"/>
            <w:tcMar>
              <w:top w:w="80" w:type="dxa"/>
              <w:start w:w="85" w:type="dxa"/>
              <w:bottom w:w="80" w:type="dxa"/>
              <w:end w:w="85" w:type="dxa"/>
            </w:tcMar>
            <w:tcW w:type="dxa" w:w="1440"/>
            <w:shd w:fill="E9EDF2"/>
          </w:tcPr>
          <w:p>
            <w:pPr>
              <w:pStyle w:val="Compact"/>
              <w:spacing w:before="0" w:after="50" w:line="240" w:lineRule="auto"/>
              <w:jc w:val="left"/>
            </w:pPr>
            <w:r>
              <w:rPr>
                <w:rFonts w:ascii="Liberation Sans" w:hAnsi="Liberation Sans" w:eastAsia="Liberation Sans"/>
                <w:b/>
                <w:sz w:val="16"/>
              </w:rPr>
              <w:t xml:space="preserve">Independence class</w:t>
            </w:r>
          </w:p>
        </w:tc>
        <w:tc>
          <w:tcPr>
            <w:vAlign w:val="center"/>
            <w:tcMar>
              <w:top w:w="80" w:type="dxa"/>
              <w:start w:w="85" w:type="dxa"/>
              <w:bottom w:w="80" w:type="dxa"/>
              <w:end w:w="85" w:type="dxa"/>
            </w:tcMar>
            <w:tcW w:type="dxa" w:w="2304"/>
            <w:shd w:fill="E9EDF2"/>
          </w:tcPr>
          <w:p>
            <w:pPr>
              <w:pStyle w:val="Compact"/>
              <w:spacing w:before="0" w:after="50" w:line="240" w:lineRule="auto"/>
              <w:jc w:val="left"/>
            </w:pPr>
            <w:r>
              <w:rPr>
                <w:rFonts w:ascii="Liberation Sans" w:hAnsi="Liberation Sans" w:eastAsia="Liberation Sans"/>
                <w:b/>
                <w:sz w:val="16"/>
              </w:rPr>
              <w:t xml:space="preserve">Reviewer rationale</w:t>
            </w:r>
          </w:p>
        </w:tc>
      </w:tr>
    </w:tbl>
    <w:p>
      <w:pPr>
        <w:pStyle w:val="BodyText"/>
        <w:widowControl/>
      </w:pPr>
      <w:r>
        <w:rPr>
          <w:rFonts w:ascii="Liberation Sans" w:hAnsi="Liberation Sans" w:eastAsia="Liberation Sans"/>
        </w:rPr>
        <w:t xml:space="preserve">A visual directed graph can also show citations, copied phrases and inferred inheritance. The graph should distinguish</w:t>
      </w:r>
      <w:r>
        <w:rPr>
          <w:rFonts w:ascii="Liberation Sans" w:hAnsi="Liberation Sans" w:eastAsia="Liberation Sans"/>
        </w:rPr>
        <w:t xml:space="preserve"> </w:t>
      </w:r>
      <w:r>
        <w:rPr>
          <w:rFonts w:ascii="Liberation Sans" w:hAnsi="Liberation Sans" w:eastAsia="Liberation Sans"/>
          <w:b/>
          <w:bCs/>
        </w:rPr>
        <w:t xml:space="preserve">information flow</w:t>
      </w:r>
      <w:r>
        <w:rPr>
          <w:rFonts w:ascii="Liberation Sans" w:hAnsi="Liberation Sans" w:eastAsia="Liberation Sans"/>
        </w:rPr>
        <w:t xml:space="preserve"> </w:t>
      </w:r>
      <w:r>
        <w:rPr>
          <w:rFonts w:ascii="Liberation Sans" w:hAnsi="Liberation Sans" w:eastAsia="Liberation Sans"/>
        </w:rPr>
        <w:t xml:space="preserve">from</w:t>
      </w:r>
      <w:r>
        <w:rPr>
          <w:rFonts w:ascii="Liberation Sans" w:hAnsi="Liberation Sans" w:eastAsia="Liberation Sans"/>
        </w:rPr>
        <w:t xml:space="preserve"> </w:t>
      </w:r>
      <w:r>
        <w:rPr>
          <w:rFonts w:ascii="Liberation Sans" w:hAnsi="Liberation Sans" w:eastAsia="Liberation Sans"/>
          <w:b/>
          <w:bCs/>
        </w:rPr>
        <w:t xml:space="preserve">clinical agreement</w:t>
      </w:r>
      <w:r>
        <w:rPr>
          <w:rFonts w:ascii="Liberation Sans" w:hAnsi="Liberation Sans" w:eastAsia="Liberation Sans"/>
        </w:rPr>
        <w:t xml:space="preserve">.</w:t>
      </w:r>
    </w:p>
    <w:bookmarkEnd w:id="153"/>
    <w:bookmarkStart w:id="154" w:name="institutional-engagement-log"/>
    <w:p>
      <w:pPr>
        <w:pStyle w:val="Heading2"/>
        <w:keepNext/>
      </w:pPr>
      <w:r>
        <w:rPr>
          <w:rFonts w:ascii="Liberation Sans" w:hAnsi="Liberation Sans" w:eastAsia="Liberation Sans"/>
        </w:rPr>
        <w:t xml:space="preserve">Institutional engagement log</w:t>
      </w:r>
    </w:p>
    <w:p>
      <w:pPr>
        <w:pStyle w:val="FirstParagraph"/>
      </w:pPr>
      <w:r>
        <w:rPr>
          <w:rFonts w:ascii="Liberation Sans" w:hAnsi="Liberation Sans" w:eastAsia="Liberation Sans"/>
        </w:rPr>
        <w:t xml:space="preserve">For every organisation approached, record:</w:t>
      </w:r>
    </w:p>
    <w:p>
      <w:pPr>
        <w:pStyle w:val="SourceCode"/>
      </w:pPr>
      <w:r>
        <w:rPr>
          <w:rStyle w:val="FunctionTok"/>
          <w:rFonts w:ascii="Liberation Mono" w:hAnsi="Liberation Mono" w:eastAsia="Liberation Mono"/>
          <w:sz w:val="18"/>
        </w:rPr>
        <w:t xml:space="preserve">engagement_id</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ENG-001</w:t>
      </w:r>
      <w:r>
        <w:rPr>
          <w:rFonts w:ascii="Liberation Mono" w:hAnsi="Liberation Mono" w:eastAsia="Liberation Mono"/>
          <w:sz w:val="18"/>
        </w:rPr>
        <w:br/>
      </w:r>
      <w:r>
        <w:rPr>
          <w:rStyle w:val="FunctionTok"/>
          <w:rFonts w:ascii="Liberation Mono" w:hAnsi="Liberation Mono" w:eastAsia="Liberation Mono"/>
          <w:sz w:val="18"/>
        </w:rPr>
        <w:t xml:space="preserve">institution</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mandate_basis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why_this_body</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what_it_is_asked_to_decide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what_it_is_not_asked_to_decide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evidence_bundle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submitted_at</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acknowledged_at</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jurisdiction_response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substantive_response</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findings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unanswered_questions</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follow_up</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w:t>
      </w:r>
      <w:r>
        <w:rPr>
          <w:rStyle w:val="Keyword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disposition</w:t>
      </w:r>
      <w:r>
        <w:rPr>
          <w:rStyle w:val="KeywordTok"/>
          <w:rFonts w:ascii="Liberation Mono" w:hAnsi="Liberation Mono" w:eastAsia="Liberation Mono"/>
          <w:sz w:val="18"/>
        </w:rPr>
        <w:t xml:space="preserve">:</w:t>
      </w:r>
      <w:r>
        <w:rPr>
          <w:rStyle w:val="AttributeTok"/>
          <w:rFonts w:ascii="Liberation Mono" w:hAnsi="Liberation Mono" w:eastAsia="Liberation Mono"/>
          <w:sz w:val="18"/>
        </w:rPr>
        <w:t xml:space="preserve"> open | closed | referred | no_jurisdiction | resolved | under_review</w:t>
      </w:r>
    </w:p>
    <w:p>
      <w:pPr>
        <w:pStyle w:val="FirstParagraph"/>
      </w:pPr>
      <w:r>
        <w:rPr>
          <w:rFonts w:ascii="Liberation Sans" w:hAnsi="Liberation Sans" w:eastAsia="Liberation Sans"/>
        </w:rPr>
        <w:t xml:space="preserve">Keep the</w:t>
      </w:r>
      <w:r>
        <w:rPr>
          <w:rFonts w:ascii="Liberation Sans" w:hAnsi="Liberation Sans" w:eastAsia="Liberation Sans"/>
        </w:rPr>
        <w:t xml:space="preserve"> </w:t>
      </w:r>
      <w:r>
        <w:rPr>
          <w:rFonts w:ascii="Liberation Sans" w:hAnsi="Liberation Sans" w:eastAsia="Liberation Sans"/>
          <w:b/>
          <w:bCs/>
        </w:rPr>
        <w:t xml:space="preserve">exact submitted version</w:t>
      </w:r>
      <w:r>
        <w:rPr>
          <w:rFonts w:ascii="Liberation Sans" w:hAnsi="Liberation Sans" w:eastAsia="Liberation Sans"/>
        </w:rPr>
        <w:t xml:space="preserve"> </w:t>
      </w:r>
      <w:r>
        <w:rPr>
          <w:rFonts w:ascii="Liberation Sans" w:hAnsi="Liberation Sans" w:eastAsia="Liberation Sans"/>
        </w:rPr>
        <w:t xml:space="preserve">immutable. Later clarifications should be separate records, not silent edits.</w:t>
      </w:r>
    </w:p>
    <w:bookmarkEnd w:id="154"/>
    <w:bookmarkStart w:id="157" w:name="standards-watch"/>
    <w:p>
      <w:pPr>
        <w:pStyle w:val="Heading2"/>
        <w:keepNext/>
      </w:pPr>
      <w:r>
        <w:rPr>
          <w:rFonts w:ascii="Liberation Sans" w:hAnsi="Liberation Sans" w:eastAsia="Liberation Sans"/>
        </w:rPr>
        <w:t xml:space="preserve">Standards watch</w:t>
      </w:r>
    </w:p>
    <w:p>
      <w:pPr>
        <w:pStyle w:val="FirstParagraph"/>
      </w:pPr>
      <w:r>
        <w:rPr>
          <w:rFonts w:ascii="Liberation Sans" w:hAnsi="Liberation Sans" w:eastAsia="Liberation Sans"/>
        </w:rPr>
        <w:t xml:space="preserve">Each standards entry should record jurisdiction, issuing body, status (law / regulation / professional guidance / standard / consultation draft / ethical declaration), effective date, superseded date, applicability to the 2017 episode, and present-day relevance. This prevents current standards from being retroactively treated as historical legal duties.</w:t>
      </w:r>
    </w:p>
    <w:p>
      <w:pPr>
        <w:pStyle w:val="BodyText"/>
        <w:widowControl/>
      </w:pPr>
      <w:r>
        <w:rPr>
          <w:rFonts w:ascii="Liberation Sans" w:hAnsi="Liberation Sans" w:eastAsia="Liberation Sans"/>
        </w:rPr>
        <w:t xml:space="preserve">Minimum watch areas:</w:t>
      </w:r>
    </w:p>
    <w:p>
      <w:pPr>
        <w:pStyle w:val="Compact"/>
        <w:numPr>
          <w:ilvl w:val="0"/>
          <w:numId w:val="1008"/>
        </w:numPr>
      </w:pPr>
      <w:r>
        <w:rPr>
          <w:rFonts w:ascii="Liberation Sans" w:hAnsi="Liberation Sans" w:eastAsia="Liberation Sans"/>
        </w:rPr>
        <w:t xml:space="preserve">Medical Council professional conduct/record guidance;</w:t>
      </w:r>
    </w:p>
    <w:p>
      <w:pPr>
        <w:pStyle w:val="Compact"/>
        <w:numPr>
          <w:ilvl w:val="0"/>
          <w:numId w:val="1008"/>
        </w:numPr>
      </w:pPr>
      <w:r>
        <w:rPr>
          <w:rFonts w:ascii="Liberation Sans" w:hAnsi="Liberation Sans" w:eastAsia="Liberation Sans"/>
        </w:rPr>
        <w:t xml:space="preserve">HSE Incident Management Framework revisions;</w:t>
      </w:r>
    </w:p>
    <w:p>
      <w:pPr>
        <w:pStyle w:val="Compact"/>
        <w:numPr>
          <w:ilvl w:val="0"/>
          <w:numId w:val="1008"/>
        </w:numPr>
      </w:pPr>
      <w:r>
        <w:rPr>
          <w:rFonts w:ascii="Liberation Sans" w:hAnsi="Liberation Sans" w:eastAsia="Liberation Sans"/>
        </w:rPr>
        <w:t xml:space="preserve">HSE Open Disclosure policy and statutory guidance;</w:t>
      </w:r>
    </w:p>
    <w:p>
      <w:pPr>
        <w:pStyle w:val="Compact"/>
        <w:numPr>
          <w:ilvl w:val="0"/>
          <w:numId w:val="1008"/>
        </w:numPr>
      </w:pPr>
      <w:r>
        <w:rPr>
          <w:rFonts w:ascii="Liberation Sans" w:hAnsi="Liberation Sans" w:eastAsia="Liberation Sans"/>
        </w:rPr>
        <w:t xml:space="preserve">HIQA information-management and discharge-information standards;</w:t>
      </w:r>
    </w:p>
    <w:p>
      <w:pPr>
        <w:pStyle w:val="Compact"/>
        <w:numPr>
          <w:ilvl w:val="0"/>
          <w:numId w:val="1008"/>
        </w:numPr>
      </w:pPr>
      <w:r>
        <w:rPr>
          <w:rFonts w:ascii="Liberation Sans" w:hAnsi="Liberation Sans" w:eastAsia="Liberation Sans"/>
        </w:rPr>
        <w:t xml:space="preserve">Irish health-information legislation and the national EHR programme;</w:t>
      </w:r>
    </w:p>
    <w:p>
      <w:pPr>
        <w:pStyle w:val="Compact"/>
        <w:numPr>
          <w:ilvl w:val="0"/>
          <w:numId w:val="1008"/>
        </w:numPr>
      </w:pPr>
      <w:r>
        <w:rPr>
          <w:rFonts w:ascii="Liberation Sans" w:hAnsi="Liberation Sans" w:eastAsia="Liberation Sans"/>
        </w:rPr>
        <w:t xml:space="preserve">GDPR Article 16 guidance and DPC healthcare guidance;</w:t>
      </w:r>
    </w:p>
    <w:p>
      <w:pPr>
        <w:pStyle w:val="Compact"/>
        <w:numPr>
          <w:ilvl w:val="0"/>
          <w:numId w:val="1008"/>
        </w:numPr>
      </w:pPr>
      <w:r>
        <w:rPr>
          <w:rFonts w:ascii="Liberation Sans" w:hAnsi="Liberation Sans" w:eastAsia="Liberation Sans"/>
        </w:rPr>
        <w:t xml:space="preserve">EHDS implementation milestones;</w:t>
      </w:r>
    </w:p>
    <w:p>
      <w:pPr>
        <w:pStyle w:val="Compact"/>
        <w:numPr>
          <w:ilvl w:val="0"/>
          <w:numId w:val="1008"/>
        </w:numPr>
      </w:pPr>
      <w:r>
        <w:rPr>
          <w:rFonts w:ascii="Liberation Sans" w:hAnsi="Liberation Sans" w:eastAsia="Liberation Sans"/>
        </w:rPr>
        <w:t xml:space="preserve">Council of Europe biomedicine work;</w:t>
      </w:r>
    </w:p>
    <w:p>
      <w:pPr>
        <w:pStyle w:val="Compact"/>
        <w:numPr>
          <w:ilvl w:val="0"/>
          <w:numId w:val="1008"/>
        </w:numPr>
      </w:pPr>
      <w:r>
        <w:rPr>
          <w:rFonts w:ascii="Liberation Sans" w:hAnsi="Liberation Sans" w:eastAsia="Liberation Sans"/>
        </w:rPr>
        <w:t xml:space="preserve">WMA and WHO patient-safety ethics;</w:t>
      </w:r>
    </w:p>
    <w:p>
      <w:pPr>
        <w:pStyle w:val="Compact"/>
        <w:numPr>
          <w:ilvl w:val="0"/>
          <w:numId w:val="1008"/>
        </w:numPr>
      </w:pPr>
      <w:r>
        <w:rPr>
          <w:rFonts w:ascii="Liberation Sans" w:hAnsi="Liberation Sans" w:eastAsia="Liberation Sans"/>
        </w:rPr>
        <w:t xml:space="preserve">diagnostic-safety and health-informatics provenance literature.</w:t>
      </w:r>
    </w:p>
    <w:p>
      <w:pPr>
        <w:pStyle w:val="FirstParagraph"/>
      </w:pPr>
      <w:r>
        <w:rPr>
          <w:rFonts w:ascii="Liberation Sans" w:hAnsi="Liberation Sans" w:eastAsia="Liberation Sans"/>
        </w:rPr>
        <w:t xml:space="preserve">Ireland’s Health Information Bill has continued through the legislative process into 2026, while national EHR procurement was approved to proceed in February 2026; both belong in the standards watch rather than being assumed already-operative law.</w:t>
      </w:r>
      <w:r>
        <w:rPr>
          <w:rStyle w:val="FootnoteReference"/>
          <w:rFonts w:ascii="Liberation Sans" w:hAnsi="Liberation Sans" w:eastAsia="Liberation Sans"/>
        </w:rPr>
        <w:footnoteReference w:id="155"/>
      </w:r>
      <w:r>
        <w:rPr>
          <w:rStyle w:val="FootnoteReference"/>
          <w:rFonts w:ascii="Liberation Sans" w:hAnsi="Liberation Sans" w:eastAsia="Liberation Sans"/>
        </w:rPr>
        <w:footnoteReference w:id="156"/>
      </w:r>
    </w:p>
    <w:bookmarkEnd w:id="157"/>
    <w:bookmarkStart w:id="158" w:name="normalised-database-option"/>
    <w:p>
      <w:pPr>
        <w:pStyle w:val="Heading2"/>
        <w:keepNext/>
      </w:pPr>
      <w:r>
        <w:rPr>
          <w:rFonts w:ascii="Liberation Sans" w:hAnsi="Liberation Sans" w:eastAsia="Liberation Sans"/>
        </w:rPr>
        <w:t xml:space="preserve">Normalised database option</w:t>
      </w:r>
    </w:p>
    <w:p>
      <w:pPr>
        <w:pStyle w:val="FirstParagraph"/>
      </w:pPr>
      <w:r>
        <w:rPr>
          <w:rFonts w:ascii="Liberation Sans" w:hAnsi="Liberation Sans" w:eastAsia="Liberation Sans"/>
        </w:rPr>
        <w:t xml:space="preserve">For a database-backed repository, use at least these tables:</w:t>
      </w:r>
    </w:p>
    <w:p>
      <w:pPr>
        <w:pStyle w:val="SourceCode"/>
      </w:pPr>
      <w:r>
        <w:rPr>
          <w:rStyle w:val="VerbatimChar"/>
          <w:rFonts w:ascii="Liberation Mono" w:hAnsi="Liberation Mono" w:eastAsia="Liberation Mono"/>
          <w:sz w:val="18"/>
        </w:rPr>
        <w:t xml:space="preserve">sources</w:t>
      </w:r>
      <w:r>
        <w:rPr>
          <w:rFonts w:ascii="Liberation Mono" w:hAnsi="Liberation Mono" w:eastAsia="Liberation Mono"/>
          <w:sz w:val="18"/>
        </w:rPr>
        <w:br/>
      </w:r>
      <w:r>
        <w:rPr>
          <w:rStyle w:val="VerbatimChar"/>
          <w:rFonts w:ascii="Liberation Mono" w:hAnsi="Liberation Mono" w:eastAsia="Liberation Mono"/>
          <w:sz w:val="18"/>
        </w:rPr>
        <w:t xml:space="preserve">source_versions</w:t>
      </w:r>
      <w:r>
        <w:rPr>
          <w:rFonts w:ascii="Liberation Mono" w:hAnsi="Liberation Mono" w:eastAsia="Liberation Mono"/>
          <w:sz w:val="18"/>
        </w:rPr>
        <w:br/>
      </w:r>
      <w:r>
        <w:rPr>
          <w:rStyle w:val="VerbatimChar"/>
          <w:rFonts w:ascii="Liberation Mono" w:hAnsi="Liberation Mono" w:eastAsia="Liberation Mono"/>
          <w:sz w:val="18"/>
        </w:rPr>
        <w:t xml:space="preserve">source_hashes</w:t>
      </w:r>
      <w:r>
        <w:rPr>
          <w:rFonts w:ascii="Liberation Mono" w:hAnsi="Liberation Mono" w:eastAsia="Liberation Mono"/>
          <w:sz w:val="18"/>
        </w:rPr>
        <w:br/>
      </w:r>
      <w:r>
        <w:rPr>
          <w:rStyle w:val="VerbatimChar"/>
          <w:rFonts w:ascii="Liberation Mono" w:hAnsi="Liberation Mono" w:eastAsia="Liberation Mono"/>
          <w:sz w:val="18"/>
        </w:rPr>
        <w:t xml:space="preserve">propositions</w:t>
      </w:r>
      <w:r>
        <w:rPr>
          <w:rFonts w:ascii="Liberation Mono" w:hAnsi="Liberation Mono" w:eastAsia="Liberation Mono"/>
          <w:sz w:val="18"/>
        </w:rPr>
        <w:br/>
      </w:r>
      <w:r>
        <w:rPr>
          <w:rStyle w:val="VerbatimChar"/>
          <w:rFonts w:ascii="Liberation Mono" w:hAnsi="Liberation Mono" w:eastAsia="Liberation Mono"/>
          <w:sz w:val="18"/>
        </w:rPr>
        <w:t xml:space="preserve">proposition_evidence</w:t>
      </w:r>
      <w:r>
        <w:rPr>
          <w:rFonts w:ascii="Liberation Mono" w:hAnsi="Liberation Mono" w:eastAsia="Liberation Mono"/>
          <w:sz w:val="18"/>
        </w:rPr>
        <w:br/>
      </w:r>
      <w:r>
        <w:rPr>
          <w:rStyle w:val="VerbatimChar"/>
          <w:rFonts w:ascii="Liberation Mono" w:hAnsi="Liberation Mono" w:eastAsia="Liberation Mono"/>
          <w:sz w:val="18"/>
        </w:rPr>
        <w:t xml:space="preserve">proposition_dependencies</w:t>
      </w:r>
      <w:r>
        <w:rPr>
          <w:rFonts w:ascii="Liberation Mono" w:hAnsi="Liberation Mono" w:eastAsia="Liberation Mono"/>
          <w:sz w:val="18"/>
        </w:rPr>
        <w:br/>
      </w:r>
      <w:r>
        <w:rPr>
          <w:rStyle w:val="VerbatimChar"/>
          <w:rFonts w:ascii="Liberation Mono" w:hAnsi="Liberation Mono" w:eastAsia="Liberation Mono"/>
          <w:sz w:val="18"/>
        </w:rPr>
        <w:t xml:space="preserve">alternative_explanations</w:t>
      </w:r>
      <w:r>
        <w:rPr>
          <w:rFonts w:ascii="Liberation Mono" w:hAnsi="Liberation Mono" w:eastAsia="Liberation Mono"/>
          <w:sz w:val="18"/>
        </w:rPr>
        <w:br/>
      </w:r>
      <w:r>
        <w:rPr>
          <w:rStyle w:val="VerbatimChar"/>
          <w:rFonts w:ascii="Liberation Mono" w:hAnsi="Liberation Mono" w:eastAsia="Liberation Mono"/>
          <w:sz w:val="18"/>
        </w:rPr>
        <w:t xml:space="preserve">falsifiers</w:t>
      </w:r>
      <w:r>
        <w:rPr>
          <w:rFonts w:ascii="Liberation Mono" w:hAnsi="Liberation Mono" w:eastAsia="Liberation Mono"/>
          <w:sz w:val="18"/>
        </w:rPr>
        <w:br/>
      </w:r>
      <w:r>
        <w:rPr>
          <w:rStyle w:val="VerbatimChar"/>
          <w:rFonts w:ascii="Liberation Mono" w:hAnsi="Liberation Mono" w:eastAsia="Liberation Mono"/>
          <w:sz w:val="18"/>
        </w:rPr>
        <w:t xml:space="preserve">clinical_questions</w:t>
      </w:r>
      <w:r>
        <w:rPr>
          <w:rFonts w:ascii="Liberation Mono" w:hAnsi="Liberation Mono" w:eastAsia="Liberation Mono"/>
          <w:sz w:val="18"/>
        </w:rPr>
        <w:br/>
      </w:r>
      <w:r>
        <w:rPr>
          <w:rStyle w:val="VerbatimChar"/>
          <w:rFonts w:ascii="Liberation Mono" w:hAnsi="Liberation Mono" w:eastAsia="Liberation Mono"/>
          <w:sz w:val="18"/>
        </w:rPr>
        <w:t xml:space="preserve">phrase_provenance</w:t>
      </w:r>
      <w:r>
        <w:rPr>
          <w:rFonts w:ascii="Liberation Mono" w:hAnsi="Liberation Mono" w:eastAsia="Liberation Mono"/>
          <w:sz w:val="18"/>
        </w:rPr>
        <w:br/>
      </w:r>
      <w:r>
        <w:rPr>
          <w:rStyle w:val="VerbatimChar"/>
          <w:rFonts w:ascii="Liberation Mono" w:hAnsi="Liberation Mono" w:eastAsia="Liberation Mono"/>
          <w:sz w:val="18"/>
        </w:rPr>
        <w:t xml:space="preserve">independence_assessments</w:t>
      </w:r>
      <w:r>
        <w:rPr>
          <w:rFonts w:ascii="Liberation Mono" w:hAnsi="Liberation Mono" w:eastAsia="Liberation Mono"/>
          <w:sz w:val="18"/>
        </w:rPr>
        <w:br/>
      </w:r>
      <w:r>
        <w:rPr>
          <w:rStyle w:val="VerbatimChar"/>
          <w:rFonts w:ascii="Liberation Mono" w:hAnsi="Liberation Mono" w:eastAsia="Liberation Mono"/>
          <w:sz w:val="18"/>
        </w:rPr>
        <w:t xml:space="preserve">institutions</w:t>
      </w:r>
      <w:r>
        <w:rPr>
          <w:rFonts w:ascii="Liberation Mono" w:hAnsi="Liberation Mono" w:eastAsia="Liberation Mono"/>
          <w:sz w:val="18"/>
        </w:rPr>
        <w:br/>
      </w:r>
      <w:r>
        <w:rPr>
          <w:rStyle w:val="VerbatimChar"/>
          <w:rFonts w:ascii="Liberation Mono" w:hAnsi="Liberation Mono" w:eastAsia="Liberation Mono"/>
          <w:sz w:val="18"/>
        </w:rPr>
        <w:t xml:space="preserve">institution_mandates</w:t>
      </w:r>
      <w:r>
        <w:rPr>
          <w:rFonts w:ascii="Liberation Mono" w:hAnsi="Liberation Mono" w:eastAsia="Liberation Mono"/>
          <w:sz w:val="18"/>
        </w:rPr>
        <w:br/>
      </w:r>
      <w:r>
        <w:rPr>
          <w:rStyle w:val="VerbatimChar"/>
          <w:rFonts w:ascii="Liberation Mono" w:hAnsi="Liberation Mono" w:eastAsia="Liberation Mono"/>
          <w:sz w:val="18"/>
        </w:rPr>
        <w:t xml:space="preserve">engagements</w:t>
      </w:r>
      <w:r>
        <w:rPr>
          <w:rFonts w:ascii="Liberation Mono" w:hAnsi="Liberation Mono" w:eastAsia="Liberation Mono"/>
          <w:sz w:val="18"/>
        </w:rPr>
        <w:br/>
      </w:r>
      <w:r>
        <w:rPr>
          <w:rStyle w:val="VerbatimChar"/>
          <w:rFonts w:ascii="Liberation Mono" w:hAnsi="Liberation Mono" w:eastAsia="Liberation Mono"/>
          <w:sz w:val="18"/>
        </w:rPr>
        <w:t xml:space="preserve">engagement_documents</w:t>
      </w:r>
      <w:r>
        <w:rPr>
          <w:rFonts w:ascii="Liberation Mono" w:hAnsi="Liberation Mono" w:eastAsia="Liberation Mono"/>
          <w:sz w:val="18"/>
        </w:rPr>
        <w:br/>
      </w:r>
      <w:r>
        <w:rPr>
          <w:rStyle w:val="VerbatimChar"/>
          <w:rFonts w:ascii="Liberation Mono" w:hAnsi="Liberation Mono" w:eastAsia="Liberation Mono"/>
          <w:sz w:val="18"/>
        </w:rPr>
        <w:t xml:space="preserve">standards</w:t>
      </w:r>
      <w:r>
        <w:rPr>
          <w:rFonts w:ascii="Liberation Mono" w:hAnsi="Liberation Mono" w:eastAsia="Liberation Mono"/>
          <w:sz w:val="18"/>
        </w:rPr>
        <w:br/>
      </w:r>
      <w:r>
        <w:rPr>
          <w:rStyle w:val="VerbatimChar"/>
          <w:rFonts w:ascii="Liberation Mono" w:hAnsi="Liberation Mono" w:eastAsia="Liberation Mono"/>
          <w:sz w:val="18"/>
        </w:rPr>
        <w:t xml:space="preserve">standard_versions</w:t>
      </w:r>
      <w:r>
        <w:rPr>
          <w:rFonts w:ascii="Liberation Mono" w:hAnsi="Liberation Mono" w:eastAsia="Liberation Mono"/>
          <w:sz w:val="18"/>
        </w:rPr>
        <w:br/>
      </w:r>
      <w:r>
        <w:rPr>
          <w:rStyle w:val="VerbatimChar"/>
          <w:rFonts w:ascii="Liberation Mono" w:hAnsi="Liberation Mono" w:eastAsia="Liberation Mono"/>
          <w:sz w:val="18"/>
        </w:rPr>
        <w:t xml:space="preserve">scholarship</w:t>
      </w:r>
      <w:r>
        <w:rPr>
          <w:rFonts w:ascii="Liberation Mono" w:hAnsi="Liberation Mono" w:eastAsia="Liberation Mono"/>
          <w:sz w:val="18"/>
        </w:rPr>
        <w:br/>
      </w:r>
      <w:r>
        <w:rPr>
          <w:rStyle w:val="VerbatimChar"/>
          <w:rFonts w:ascii="Liberation Mono" w:hAnsi="Liberation Mono" w:eastAsia="Liberation Mono"/>
          <w:sz w:val="18"/>
        </w:rPr>
        <w:t xml:space="preserve">watch_events</w:t>
      </w:r>
      <w:r>
        <w:rPr>
          <w:rFonts w:ascii="Liberation Mono" w:hAnsi="Liberation Mono" w:eastAsia="Liberation Mono"/>
          <w:sz w:val="18"/>
        </w:rPr>
        <w:br/>
      </w:r>
      <w:r>
        <w:rPr>
          <w:rStyle w:val="VerbatimChar"/>
          <w:rFonts w:ascii="Liberation Mono" w:hAnsi="Liberation Mono" w:eastAsia="Liberation Mono"/>
          <w:sz w:val="18"/>
        </w:rPr>
        <w:t xml:space="preserve">expert_opinions</w:t>
      </w:r>
      <w:r>
        <w:rPr>
          <w:rFonts w:ascii="Liberation Mono" w:hAnsi="Liberation Mono" w:eastAsia="Liberation Mono"/>
          <w:sz w:val="18"/>
        </w:rPr>
        <w:br/>
      </w:r>
      <w:r>
        <w:rPr>
          <w:rStyle w:val="VerbatimChar"/>
          <w:rFonts w:ascii="Liberation Mono" w:hAnsi="Liberation Mono" w:eastAsia="Liberation Mono"/>
          <w:sz w:val="18"/>
        </w:rPr>
        <w:t xml:space="preserve">publication_clearances</w:t>
      </w:r>
      <w:r>
        <w:rPr>
          <w:rFonts w:ascii="Liberation Mono" w:hAnsi="Liberation Mono" w:eastAsia="Liberation Mono"/>
          <w:sz w:val="18"/>
        </w:rPr>
        <w:br/>
      </w:r>
      <w:r>
        <w:rPr>
          <w:rStyle w:val="VerbatimChar"/>
          <w:rFonts w:ascii="Liberation Mono" w:hAnsi="Liberation Mono" w:eastAsia="Liberation Mono"/>
          <w:sz w:val="18"/>
        </w:rPr>
        <w:t xml:space="preserve">corrections</w:t>
      </w:r>
    </w:p>
    <w:p>
      <w:pPr>
        <w:pStyle w:val="FirstParagraph"/>
      </w:pPr>
      <w:r>
        <w:rPr>
          <w:rFonts w:ascii="Liberation Sans" w:hAnsi="Liberation Sans" w:eastAsia="Liberation Sans"/>
        </w:rPr>
        <w:t xml:space="preserve">The critical relational table is</w:t>
      </w:r>
      <w:r>
        <w:rPr>
          <w:rFonts w:ascii="Liberation Sans" w:hAnsi="Liberation Sans" w:eastAsia="Liberation Sans"/>
        </w:rPr>
        <w:t xml:space="preserve"> </w:t>
      </w:r>
      <w:r>
        <w:rPr>
          <w:rStyle w:val="VerbatimChar"/>
          <w:rFonts w:ascii="Liberation Sans" w:hAnsi="Liberation Sans" w:eastAsia="Liberation Sans"/>
        </w:rPr>
        <w:t xml:space="preserve">proposition_evidence</w:t>
      </w:r>
      <w:r>
        <w:rPr>
          <w:rFonts w:ascii="Liberation Sans" w:hAnsi="Liberation Sans" w:eastAsia="Liberation Sans"/>
        </w:rPr>
        <w:t xml:space="preserve">, with fields for</w:t>
      </w:r>
      <w:r>
        <w:rPr>
          <w:rFonts w:ascii="Liberation Sans" w:hAnsi="Liberation Sans" w:eastAsia="Liberation Sans"/>
        </w:rPr>
        <w:t xml:space="preserve"> </w:t>
      </w:r>
      <w:r>
        <w:rPr>
          <w:rStyle w:val="VerbatimChar"/>
          <w:rFonts w:ascii="Liberation Sans" w:hAnsi="Liberation Sans" w:eastAsia="Liberation Sans"/>
        </w:rPr>
        <w:t xml:space="preserve">support_direction</w:t>
      </w:r>
      <w:r>
        <w:rPr>
          <w:rFonts w:ascii="Liberation Sans" w:hAnsi="Liberation Sans" w:eastAsia="Liberation Sans"/>
        </w:rPr>
        <w:t xml:space="preserve">,</w:t>
      </w:r>
      <w:r>
        <w:rPr>
          <w:rFonts w:ascii="Liberation Sans" w:hAnsi="Liberation Sans" w:eastAsia="Liberation Sans"/>
        </w:rPr>
        <w:t xml:space="preserve"> </w:t>
      </w:r>
      <w:r>
        <w:rPr>
          <w:rStyle w:val="VerbatimChar"/>
          <w:rFonts w:ascii="Liberation Sans" w:hAnsi="Liberation Sans" w:eastAsia="Liberation Sans"/>
        </w:rPr>
        <w:t xml:space="preserve">independence_class</w:t>
      </w:r>
      <w:r>
        <w:rPr>
          <w:rFonts w:ascii="Liberation Sans" w:hAnsi="Liberation Sans" w:eastAsia="Liberation Sans"/>
        </w:rPr>
        <w:t xml:space="preserve">,</w:t>
      </w:r>
      <w:r>
        <w:rPr>
          <w:rFonts w:ascii="Liberation Sans" w:hAnsi="Liberation Sans" w:eastAsia="Liberation Sans"/>
        </w:rPr>
        <w:t xml:space="preserve"> </w:t>
      </w:r>
      <w:r>
        <w:rPr>
          <w:rStyle w:val="VerbatimChar"/>
          <w:rFonts w:ascii="Liberation Sans" w:hAnsi="Liberation Sans" w:eastAsia="Liberation Sans"/>
        </w:rPr>
        <w:t xml:space="preserve">weight</w:t>
      </w:r>
      <w:r>
        <w:rPr>
          <w:rFonts w:ascii="Liberation Sans" w:hAnsi="Liberation Sans" w:eastAsia="Liberation Sans"/>
        </w:rPr>
        <w:t xml:space="preserve">,</w:t>
      </w:r>
      <w:r>
        <w:rPr>
          <w:rFonts w:ascii="Liberation Sans" w:hAnsi="Liberation Sans" w:eastAsia="Liberation Sans"/>
        </w:rPr>
        <w:t xml:space="preserve"> </w:t>
      </w:r>
      <w:r>
        <w:rPr>
          <w:rStyle w:val="VerbatimChar"/>
          <w:rFonts w:ascii="Liberation Sans" w:hAnsi="Liberation Sans" w:eastAsia="Liberation Sans"/>
        </w:rPr>
        <w:t xml:space="preserve">reviewer</w:t>
      </w:r>
      <w:r>
        <w:rPr>
          <w:rFonts w:ascii="Liberation Sans" w:hAnsi="Liberation Sans" w:eastAsia="Liberation Sans"/>
        </w:rPr>
        <w:t xml:space="preserve">, and</w:t>
      </w:r>
      <w:r>
        <w:rPr>
          <w:rFonts w:ascii="Liberation Sans" w:hAnsi="Liberation Sans" w:eastAsia="Liberation Sans"/>
        </w:rPr>
        <w:t xml:space="preserve"> </w:t>
      </w:r>
      <w:r>
        <w:rPr>
          <w:rStyle w:val="VerbatimChar"/>
          <w:rFonts w:ascii="Liberation Sans" w:hAnsi="Liberation Sans" w:eastAsia="Liberation Sans"/>
        </w:rPr>
        <w:t xml:space="preserve">reason</w:t>
      </w:r>
      <w:r>
        <w:rPr>
          <w:rFonts w:ascii="Liberation Sans" w:hAnsi="Liberation Sans" w:eastAsia="Liberation Sans"/>
        </w:rPr>
        <w:t xml:space="preserve">. This makes it impossible to count ten derivative notes as ten independent supports without explicitly overriding the model.</w:t>
      </w:r>
    </w:p>
    <w:bookmarkEnd w:id="158"/>
    <w:bookmarkEnd w:id="159"/>
    <w:bookmarkStart w:id="161" w:name="part-xiii-communication-strategy"/>
    <w:p>
      <w:pPr>
        <w:sectPr>
          <w:pgSz w:w="15840" w:h="12240" w:orient="landscape"/>
          <w:pgMar w:top="720" w:right="720" w:bottom="720" w:left="720" w:header="360" w:footer="360" w:gutter="0"/>
          <w:footerReference w:type="default" r:id="rId9"/>
          <w:type w:val="nextPage"/>
        </w:sectPr>
      </w:pPr>
    </w:p>
    <w:p>
      <w:pPr>
        <w:pStyle w:val="Heading1"/>
        <w:keepNext/>
      </w:pPr>
      <w:r>
        <w:rPr>
          <w:rFonts w:ascii="Liberation Sans" w:hAnsi="Liberation Sans" w:eastAsia="Liberation Sans"/>
        </w:rPr>
        <w:t xml:space="preserve">Part XIII — Communication strategy</w:t>
      </w:r>
    </w:p>
    <w:p>
      <w:pPr>
        <w:pStyle w:val="FirstParagraph"/>
      </w:pPr>
      <w:r>
        <w:rPr>
          <w:rFonts w:ascii="Liberation Sans" w:hAnsi="Liberation Sans" w:eastAsia="Liberation Sans"/>
        </w:rPr>
        <w:t xml:space="preserve">The governing rule is</w:t>
      </w:r>
      <w:r>
        <w:rPr>
          <w:rFonts w:ascii="Liberation Sans" w:hAnsi="Liberation Sans" w:eastAsia="Liberation Sans"/>
        </w:rPr>
        <w:t xml:space="preserve"> </w:t>
      </w:r>
      <w:r>
        <w:rPr>
          <w:rFonts w:ascii="Liberation Sans" w:hAnsi="Liberation Sans" w:eastAsia="Liberation Sans"/>
          <w:b/>
          <w:bCs/>
        </w:rPr>
        <w:t xml:space="preserve">one mechanism, mandate-specific submissions</w:t>
      </w:r>
      <w:r>
        <w:rPr>
          <w:rFonts w:ascii="Liberation Sans" w:hAnsi="Liberation Sans" w:eastAsia="Liberation Sans"/>
        </w:rPr>
        <w:t xml:space="preserve">. Do not send the same undifferentiated complaint everywhere.</w:t>
      </w:r>
    </w:p>
    <w:tbl>
      <w:tblPr>
        <w:tblStyle w:val="Table"/>
        <w:tblW w:type="pct" w:w="5000"/>
        <w:jc w:val="center"/>
        <w:tblLayout w:type="fixed"/>
        <w:tblLook w:firstRow="1" w:lastRow="0" w:firstColumn="0" w:lastColumn="0" w:noHBand="0" w:noVBand="0" w:val="00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640"/>
        <w:gridCol w:w="2640"/>
        <w:gridCol w:w="2640"/>
      </w:tblGrid>
      <w:tr>
        <w:trPr>
          <w:tblHeader w:val="on"/>
          <w:tblHeader w:val="true"/>
          <w:cantSplit/>
        </w:trPr>
        <w:tc>
          <w:tcPr>
            <w:vAlign w:val="center"/>
            <w:tcMar>
              <w:top w:w="80" w:type="dxa"/>
              <w:start w:w="85" w:type="dxa"/>
              <w:bottom w:w="80" w:type="dxa"/>
              <w:end w:w="85" w:type="dxa"/>
            </w:tcMar>
            <w:tcW w:type="dxa" w:w="1872"/>
            <w:shd w:fill="E9EDF2"/>
          </w:tcPr>
          <w:p>
            <w:pPr>
              <w:pStyle w:val="Compact"/>
              <w:spacing w:before="0" w:after="50" w:line="240" w:lineRule="auto"/>
              <w:jc w:val="left"/>
            </w:pPr>
            <w:r>
              <w:rPr>
                <w:rFonts w:ascii="Liberation Sans" w:hAnsi="Liberation Sans" w:eastAsia="Liberation Sans"/>
                <w:b/>
                <w:sz w:val="16"/>
              </w:rPr>
              <w:t xml:space="preserve">Audience</w:t>
            </w:r>
          </w:p>
        </w:tc>
        <w:tc>
          <w:tcPr>
            <w:vAlign w:val="center"/>
            <w:tcMar>
              <w:top w:w="80" w:type="dxa"/>
              <w:start w:w="85" w:type="dxa"/>
              <w:bottom w:w="80" w:type="dxa"/>
              <w:end w:w="85" w:type="dxa"/>
            </w:tcMar>
            <w:tcW w:type="dxa" w:w="4680"/>
            <w:shd w:fill="E9EDF2"/>
          </w:tcPr>
          <w:p>
            <w:pPr>
              <w:pStyle w:val="Compact"/>
              <w:spacing w:before="0" w:after="50" w:line="240" w:lineRule="auto"/>
              <w:jc w:val="left"/>
            </w:pPr>
            <w:r>
              <w:rPr>
                <w:rFonts w:ascii="Liberation Sans" w:hAnsi="Liberation Sans" w:eastAsia="Liberation Sans"/>
                <w:b/>
                <w:sz w:val="16"/>
              </w:rPr>
              <w:t xml:space="preserve">Send</w:t>
            </w:r>
          </w:p>
        </w:tc>
        <w:tc>
          <w:tcPr>
            <w:vAlign w:val="center"/>
            <w:tcMar>
              <w:top w:w="80" w:type="dxa"/>
              <w:start w:w="85" w:type="dxa"/>
              <w:bottom w:w="80" w:type="dxa"/>
              <w:end w:w="85" w:type="dxa"/>
            </w:tcMar>
            <w:tcW w:type="dxa" w:w="3816"/>
            <w:shd w:fill="E9EDF2"/>
          </w:tcPr>
          <w:p>
            <w:pPr>
              <w:pStyle w:val="Compact"/>
              <w:spacing w:before="0" w:after="50" w:line="240" w:lineRule="auto"/>
              <w:jc w:val="left"/>
            </w:pPr>
            <w:r>
              <w:rPr>
                <w:rFonts w:ascii="Liberation Sans" w:hAnsi="Liberation Sans" w:eastAsia="Liberation Sans"/>
                <w:b/>
                <w:sz w:val="16"/>
              </w:rPr>
              <w:t xml:space="preserve">Do</w:t>
            </w:r>
            <w:r>
              <w:rPr>
                <w:rFonts w:ascii="Liberation Sans" w:hAnsi="Liberation Sans" w:eastAsia="Liberation Sans"/>
                <w:b/>
                <w:sz w:val="16"/>
              </w:rPr>
              <w:t xml:space="preserve"> </w:t>
            </w:r>
            <w:r>
              <w:rPr>
                <w:rFonts w:ascii="Liberation Sans" w:hAnsi="Liberation Sans" w:eastAsia="Liberation Sans"/>
                <w:b/>
                <w:bCs/>
                <w:sz w:val="16"/>
              </w:rPr>
              <w:t xml:space="preserve">not</w:t>
            </w:r>
            <w:r>
              <w:rPr>
                <w:rFonts w:ascii="Liberation Sans" w:hAnsi="Liberation Sans" w:eastAsia="Liberation Sans"/>
                <w:b/>
                <w:sz w:val="16"/>
              </w:rPr>
              <w:t xml:space="preserve"> </w:t>
            </w:r>
            <w:r>
              <w:rPr>
                <w:rFonts w:ascii="Liberation Sans" w:hAnsi="Liberation Sans" w:eastAsia="Liberation Sans"/>
                <w:b/>
                <w:sz w:val="16"/>
              </w:rPr>
              <w:t xml:space="preserve">send</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1. Medical regulator</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Short allegation schedule tied to statutory grounds; authenticated primary records; authorship; chronology; independent 2017-standard expert opinion; explanation of present investigability</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broad philosophical treatise; demands for compensation/record alteration; unsupported claims of intent; every downstream grievance</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2. Hospital patient-safety body</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Full causal timeline; primary/descendant evidence map; harm pathway; protest issue; request for independent system + provenance review; explicit learning questions</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demand for predetermined disciplinary guilt; mass external CC list; rhetoric that makes internal fact-finding impossible</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3. HIQA / system-quality body</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De-identified system-risk proposition mapped to information-management/safety standards; evidence that risk is not merely disagreement over diagnosis</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Request to decide clinical negligence or compel an individual remedy it lacks power to order</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4. Ombudsman</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Administrative issue: wrong/incomplete information, inadequate reasons, failure to address complaint, procedurally defective review—clearly separated from clinical merits</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Argument that the Ombudsman should determine whether dystonia rather than neuropathy explained symptoms</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5. Data-protection regulator</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Exact data item/omission; why it is inaccurate or incomplete for processing purpose; Article 16 request and controller response; desired rectification/supplementary statement</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w:t>
            </w:r>
            <w:r>
              <w:rPr>
                <w:rFonts w:ascii="Liberation Sans" w:hAnsi="Liberation Sans" w:eastAsia="Liberation Sans"/>
                <w:sz w:val="16"/>
              </w:rPr>
              <w:t xml:space="preserve">The diagnosis was wrong, therefore erase it</w:t>
            </w:r>
            <w:r>
              <w:rPr>
                <w:rFonts w:ascii="Liberation Sans" w:hAnsi="Liberation Sans" w:eastAsia="Liberation Sans"/>
                <w:sz w:val="16"/>
              </w:rPr>
              <w:t xml:space="preserve">”</w:t>
            </w:r>
            <w:r>
              <w:rPr>
                <w:rFonts w:ascii="Liberation Sans" w:hAnsi="Liberation Sans" w:eastAsia="Liberation Sans"/>
                <w:sz w:val="16"/>
              </w:rPr>
              <w:t xml:space="preserve">; a request that the DPC practise neurology</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6. Professional ethics organisation</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De-identified case mechanism; record-integrity issue; competing explanations; professional implications</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Full identifiable complaint file or assertion that ethical interest equals jurisdiction</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7. Bioethicist</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Controlling suspicion; evidence-status ledger; causal diagram; literature analogues; falsification criteria; unresolved normative questions</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Advocacy-only narrative that suppresses innocent explanations or treats intent as proved</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8. Patient-safety researcher</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Operational definitions; independence classification; measurable hypotheses; incident-learning implications; proposed study design</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A single-case moral conclusion presented as epidemiological proof</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9. Medical journal</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Publication-grade, de-identified manuscript with method, consent/privacy position, source provenance, limitations, alternative hypotheses and literature contribution</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Live complaint dossier; defamatory or unnecessary identifiers; unpublished confidential records without lawful basis</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10. Human-rights / bioethics institution</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Rights/normative analysis tied to the institution’s actual mandate; systemic implications; explicit statement that case adjudication is not requested</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Claim that a non-complaint body can overturn Irish clinical decisions; claim that Oviedo is binding on Ireland when it is not</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11. Medical school / teaching governance</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Evidence of actual teaching/research/supervisory nexus; educational risk; narrowly tailored requested action</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Submission based only on a clinician’s honorary/academic affiliation; research-misconduct allegation without research activity</w:t>
            </w:r>
          </w:p>
        </w:tc>
      </w:tr>
      <w:tr>
        <w:trPr>
          <w:cantSplit/>
        </w:trPr>
        <w:tc>
          <w:tcPr>
            <w:vAlign w:val="center"/>
            <w:tcW w:type="dxa" w:w="1872"/>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b/>
                <w:bCs/>
                <w:sz w:val="16"/>
              </w:rPr>
              <w:t xml:space="preserve">12. International medical-ethics organisation</w:t>
            </w:r>
          </w:p>
        </w:tc>
        <w:tc>
          <w:tcPr>
            <w:vAlign w:val="center"/>
            <w:tcW w:type="dxa" w:w="4680"/>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Generalisable professional question: duties created by portable specialist records and inherited uncertainty; de-identified evidence model</w:t>
            </w:r>
          </w:p>
        </w:tc>
        <w:tc>
          <w:tcPr>
            <w:vAlign w:val="center"/>
            <w:tcW w:type="dxa" w:w="3816"/>
            <w:tcMar>
              <w:top w:w="80" w:type="dxa"/>
              <w:start w:w="85" w:type="dxa"/>
              <w:bottom w:w="80" w:type="dxa"/>
              <w:end w:w="85" w:type="dxa"/>
            </w:tcMar>
          </w:tcPr>
          <w:p>
            <w:pPr>
              <w:pStyle w:val="Compact"/>
              <w:spacing w:before="0" w:after="50" w:line="240" w:lineRule="auto"/>
              <w:jc w:val="left"/>
            </w:pPr>
            <w:r>
              <w:rPr>
                <w:rFonts w:ascii="Liberation Sans" w:hAnsi="Liberation Sans" w:eastAsia="Liberation Sans"/>
                <w:sz w:val="16"/>
              </w:rPr>
              <w:t xml:space="preserve">Expectation that the organisation will investigate or sanction an Irish clinician</w:t>
            </w:r>
          </w:p>
        </w:tc>
      </w:tr>
    </w:tbl>
    <w:bookmarkStart w:id="160" w:name="a-recommended-common-cover-structure"/>
    <w:p>
      <w:pPr>
        <w:pStyle w:val="Heading2"/>
        <w:keepNext/>
      </w:pPr>
      <w:r>
        <w:rPr>
          <w:rFonts w:ascii="Liberation Sans" w:hAnsi="Liberation Sans" w:eastAsia="Liberation Sans"/>
        </w:rPr>
        <w:t xml:space="preserve">A recommended common cover structure</w:t>
      </w:r>
    </w:p>
    <w:p>
      <w:pPr>
        <w:pStyle w:val="FirstParagraph"/>
      </w:pPr>
      <w:r>
        <w:rPr>
          <w:rFonts w:ascii="Liberation Sans" w:hAnsi="Liberation Sans" w:eastAsia="Liberation Sans"/>
        </w:rPr>
        <w:t xml:space="preserve">Every submission should begin with five short statements:</w:t>
      </w:r>
    </w:p>
    <w:p>
      <w:pPr>
        <w:pStyle w:val="Compact"/>
        <w:numPr>
          <w:ilvl w:val="0"/>
          <w:numId w:val="1009"/>
        </w:numPr>
      </w:pPr>
      <w:r>
        <w:rPr>
          <w:rFonts w:ascii="Liberation Sans" w:hAnsi="Liberation Sans" w:eastAsia="Liberation Sans"/>
          <w:b/>
          <w:bCs/>
        </w:rPr>
        <w:t xml:space="preserve">What is alleged.</w:t>
      </w:r>
      <w:r>
        <w:rPr>
          <w:rFonts w:ascii="Liberation Sans" w:hAnsi="Liberation Sans" w:eastAsia="Liberation Sans"/>
        </w:rPr>
        <w:t xml:space="preserve"> </w:t>
      </w:r>
      <w:r>
        <w:rPr>
          <w:rFonts w:ascii="Liberation Sans" w:hAnsi="Liberation Sans" w:eastAsia="Liberation Sans"/>
        </w:rPr>
        <w:t xml:space="preserve">One paragraph describing the information-state mechanism without adjectives about motive.</w:t>
      </w:r>
    </w:p>
    <w:p>
      <w:pPr>
        <w:pStyle w:val="Compact"/>
        <w:numPr>
          <w:ilvl w:val="0"/>
          <w:numId w:val="1009"/>
        </w:numPr>
      </w:pPr>
      <w:r>
        <w:rPr>
          <w:rFonts w:ascii="Liberation Sans" w:hAnsi="Liberation Sans" w:eastAsia="Liberation Sans"/>
          <w:b/>
          <w:bCs/>
        </w:rPr>
        <w:t xml:space="preserve">What is established.</w:t>
      </w:r>
      <w:r>
        <w:rPr>
          <w:rFonts w:ascii="Liberation Sans" w:hAnsi="Liberation Sans" w:eastAsia="Liberation Sans"/>
        </w:rPr>
        <w:t xml:space="preserve"> </w:t>
      </w:r>
      <w:r>
        <w:rPr>
          <w:rFonts w:ascii="Liberation Sans" w:hAnsi="Liberation Sans" w:eastAsia="Liberation Sans"/>
        </w:rPr>
        <w:t xml:space="preserve">A compact list of authenticated facts.</w:t>
      </w:r>
    </w:p>
    <w:p>
      <w:pPr>
        <w:pStyle w:val="Compact"/>
        <w:numPr>
          <w:ilvl w:val="0"/>
          <w:numId w:val="1009"/>
        </w:numPr>
      </w:pPr>
      <w:r>
        <w:rPr>
          <w:rFonts w:ascii="Liberation Sans" w:hAnsi="Liberation Sans" w:eastAsia="Liberation Sans"/>
          <w:b/>
          <w:bCs/>
        </w:rPr>
        <w:t xml:space="preserve">What remains disputed.</w:t>
      </w:r>
      <w:r>
        <w:rPr>
          <w:rFonts w:ascii="Liberation Sans" w:hAnsi="Liberation Sans" w:eastAsia="Liberation Sans"/>
        </w:rPr>
        <w:t xml:space="preserve"> </w:t>
      </w:r>
      <w:r>
        <w:rPr>
          <w:rFonts w:ascii="Liberation Sans" w:hAnsi="Liberation Sans" w:eastAsia="Liberation Sans"/>
        </w:rPr>
        <w:t xml:space="preserve">Explicitly identify patient evidence, provenance questions, expert questions and intent questions.</w:t>
      </w:r>
    </w:p>
    <w:p>
      <w:pPr>
        <w:pStyle w:val="Compact"/>
        <w:numPr>
          <w:ilvl w:val="0"/>
          <w:numId w:val="1009"/>
        </w:numPr>
      </w:pPr>
      <w:r>
        <w:rPr>
          <w:rFonts w:ascii="Liberation Sans" w:hAnsi="Liberation Sans" w:eastAsia="Liberation Sans"/>
          <w:b/>
          <w:bCs/>
        </w:rPr>
        <w:t xml:space="preserve">Why this body.</w:t>
      </w:r>
      <w:r>
        <w:rPr>
          <w:rFonts w:ascii="Liberation Sans" w:hAnsi="Liberation Sans" w:eastAsia="Liberation Sans"/>
        </w:rPr>
        <w:t xml:space="preserve"> </w:t>
      </w:r>
      <w:r>
        <w:rPr>
          <w:rFonts w:ascii="Liberation Sans" w:hAnsi="Liberation Sans" w:eastAsia="Liberation Sans"/>
        </w:rPr>
        <w:t xml:space="preserve">One paragraph mapping the requested examination to its actual mandate.</w:t>
      </w:r>
    </w:p>
    <w:p>
      <w:pPr>
        <w:pStyle w:val="Compact"/>
        <w:numPr>
          <w:ilvl w:val="0"/>
          <w:numId w:val="1009"/>
        </w:numPr>
      </w:pPr>
      <w:r>
        <w:rPr>
          <w:rFonts w:ascii="Liberation Sans" w:hAnsi="Liberation Sans" w:eastAsia="Liberation Sans"/>
          <w:b/>
          <w:bCs/>
        </w:rPr>
        <w:t xml:space="preserve">What is requested.</w:t>
      </w:r>
      <w:r>
        <w:rPr>
          <w:rFonts w:ascii="Liberation Sans" w:hAnsi="Liberation Sans" w:eastAsia="Liberation Sans"/>
        </w:rPr>
        <w:t xml:space="preserve"> </w:t>
      </w:r>
      <w:r>
        <w:rPr>
          <w:rFonts w:ascii="Liberation Sans" w:hAnsi="Liberation Sans" w:eastAsia="Liberation Sans"/>
        </w:rPr>
        <w:t xml:space="preserve">A finite action the body can lawfully or practically take.</w:t>
      </w:r>
    </w:p>
    <w:p>
      <w:pPr>
        <w:pStyle w:val="FirstParagraph"/>
      </w:pPr>
      <w:r>
        <w:rPr>
          <w:rFonts w:ascii="Liberation Sans" w:hAnsi="Liberation Sans" w:eastAsia="Liberation Sans"/>
        </w:rPr>
        <w:t xml:space="preserve">This structure makes the submission harder to dismiss as indiscriminate escalation and harder to overread as claiming more than the evidence proves.</w:t>
      </w:r>
    </w:p>
    <w:bookmarkEnd w:id="160"/>
    <w:bookmarkEnd w:id="161"/>
    <w:bookmarkStart w:id="173" w:name="part-xiv-ethical-falsification"/>
    <w:p>
      <w:pPr>
        <w:sectPr>
          <w:pgSz w:w="12240" w:h="15840"/>
          <w:pgMar w:top="720" w:right="720" w:bottom="720" w:left="720" w:header="360" w:footer="360" w:gutter="0"/>
          <w:type w:val="nextPage"/>
        </w:sectPr>
      </w:pPr>
    </w:p>
    <w:p>
      <w:pPr>
        <w:pStyle w:val="Heading1"/>
        <w:keepNext/>
      </w:pPr>
      <w:r>
        <w:rPr>
          <w:rFonts w:ascii="Liberation Sans" w:hAnsi="Liberation Sans" w:eastAsia="Liberation Sans"/>
        </w:rPr>
        <w:t xml:space="preserve">Part XIV — Ethical falsification</w:t>
      </w:r>
    </w:p>
    <w:p>
      <w:pPr>
        <w:pStyle w:val="FirstParagraph"/>
      </w:pPr>
      <w:r>
        <w:rPr>
          <w:rFonts w:ascii="Liberation Sans" w:hAnsi="Liberation Sans" w:eastAsia="Liberation Sans"/>
        </w:rPr>
        <w:t xml:space="preserve">A serious ethics analysis must identify evidence that would undermine the</w:t>
      </w:r>
      <w:r>
        <w:rPr>
          <w:rFonts w:ascii="Liberation Sans" w:hAnsi="Liberation Sans" w:eastAsia="Liberation Sans"/>
        </w:rPr>
        <w:t xml:space="preserve"> </w:t>
      </w:r>
      <w:r>
        <w:rPr>
          <w:rFonts w:ascii="Liberation Sans" w:hAnsi="Liberation Sans" w:eastAsia="Liberation Sans"/>
          <w:i/>
          <w:iCs/>
        </w:rPr>
        <w:t xml:space="preserve">actual mechanism</w:t>
      </w:r>
      <w:r>
        <w:rPr>
          <w:rFonts w:ascii="Liberation Sans" w:hAnsi="Liberation Sans" w:eastAsia="Liberation Sans"/>
        </w:rPr>
        <w:t xml:space="preserve">, not merely rebut a cruder allegation.</w:t>
      </w:r>
    </w:p>
    <w:bookmarkStart w:id="171" w:name="X79cbf3a3a13bb58d691eac43c55e86211c5e905"/>
    <w:p>
      <w:pPr>
        <w:pStyle w:val="Heading2"/>
        <w:keepNext/>
      </w:pPr>
      <w:r>
        <w:rPr>
          <w:rFonts w:ascii="Liberation Sans" w:hAnsi="Liberation Sans" w:eastAsia="Liberation Sans"/>
        </w:rPr>
        <w:t xml:space="preserve">Evidence that would materially weaken or falsify the mechanism</w:t>
      </w:r>
    </w:p>
    <w:bookmarkStart w:id="162" w:name="X9a3ffb510a75e5b784019a89f4ab7191333a8ac"/>
    <w:p>
      <w:pPr>
        <w:pStyle w:val="Heading3"/>
        <w:keepNext/>
      </w:pPr>
      <w:r>
        <w:rPr>
          <w:rFonts w:ascii="Liberation Sans" w:hAnsi="Liberation Sans" w:eastAsia="Liberation Sans"/>
        </w:rPr>
        <w:t xml:space="preserve">1. Adequate contemporaneous relational assessment</w:t>
      </w:r>
    </w:p>
    <w:p>
      <w:pPr>
        <w:pStyle w:val="FirstParagraph"/>
      </w:pPr>
      <w:r>
        <w:rPr>
          <w:rFonts w:ascii="Liberation Sans" w:hAnsi="Liberation Sans" w:eastAsia="Liberation Sans"/>
        </w:rPr>
        <w:t xml:space="preserve">The mechanism would be substantially weakened if authenticated 2017 records, testimony or other evidence showed that Neurology explicitly investigated whether the painful feet, gait/posture, increased tone/tension, dystonic-looking lower limb and structural pathology were related; considered mixed mechanisms; documented why the relationship was or was not neurologically persuasive; and made a proportionate follow-up plan.</w:t>
      </w:r>
    </w:p>
    <w:p>
      <w:pPr>
        <w:pStyle w:val="BodyText"/>
        <w:widowControl/>
      </w:pPr>
      <w:r>
        <w:rPr>
          <w:rFonts w:ascii="Liberation Sans" w:hAnsi="Liberation Sans" w:eastAsia="Liberation Sans"/>
        </w:rPr>
        <w:t xml:space="preserve">This would directly attack the premise that</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unclear</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represented incompletely investigated uncertainty rather than earned specialist uncertainty.</w:t>
      </w:r>
    </w:p>
    <w:bookmarkEnd w:id="162"/>
    <w:bookmarkStart w:id="163" w:name="X72df22abb070f92135f6eddf487f387666bf181"/>
    <w:p>
      <w:pPr>
        <w:pStyle w:val="Heading3"/>
        <w:keepNext/>
      </w:pPr>
      <w:r>
        <w:rPr>
          <w:rFonts w:ascii="Liberation Sans" w:hAnsi="Liberation Sans" w:eastAsia="Liberation Sans"/>
        </w:rPr>
        <w:t xml:space="preserve">2. Accurate provenance of the disputed phrase cluster</w:t>
      </w:r>
    </w:p>
    <w:p>
      <w:pPr>
        <w:pStyle w:val="FirstParagraph"/>
      </w:pPr>
      <w:r>
        <w:rPr>
          <w:rFonts w:ascii="Liberation Sans" w:hAnsi="Liberation Sans" w:eastAsia="Liberation Sans"/>
        </w:rPr>
        <w:t xml:space="preserve">If the source record established that</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burning,</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leg pain,</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and</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markedly divorced</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were accurate, context-preserving representations of the patient’s own history and intended causal distinctions—and not recodings introduced by the service—the microconstruction allegation would materially contract.</w:t>
      </w:r>
    </w:p>
    <w:p>
      <w:pPr>
        <w:pStyle w:val="BodyText"/>
        <w:widowControl/>
      </w:pPr>
      <w:r>
        <w:rPr>
          <w:rFonts w:ascii="Liberation Sans" w:hAnsi="Liberation Sans" w:eastAsia="Liberation Sans"/>
        </w:rPr>
        <w:t xml:space="preserve">Similarly, if alcohol/neuropathy reasoning were proportionately presented as one differential among genuinely balanced alternatives, the alleged asymmetric architecture would weaken.</w:t>
      </w:r>
    </w:p>
    <w:bookmarkEnd w:id="163"/>
    <w:bookmarkStart w:id="164" w:name="X70fb70a1e93cede5aa0897d2e54e45e71aecf19"/>
    <w:p>
      <w:pPr>
        <w:pStyle w:val="Heading3"/>
        <w:keepNext/>
      </w:pPr>
      <w:r>
        <w:rPr>
          <w:rFonts w:ascii="Liberation Sans" w:hAnsi="Liberation Sans" w:eastAsia="Liberation Sans"/>
        </w:rPr>
        <w:t xml:space="preserve">3. Protest appropriately answered and preserved</w:t>
      </w:r>
    </w:p>
    <w:p>
      <w:pPr>
        <w:pStyle w:val="FirstParagraph"/>
      </w:pPr>
      <w:r>
        <w:rPr>
          <w:rFonts w:ascii="Liberation Sans" w:hAnsi="Liberation Sans" w:eastAsia="Liberation Sans"/>
        </w:rPr>
        <w:t xml:space="preserve">If evidence showed that the pre-discharge Protest was documented in another authoritative location, clearly responded to, incorporated into the plan, and available to downstream clinicians, the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warning-label removal</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component would fail or become much narrower.</w:t>
      </w:r>
    </w:p>
    <w:bookmarkEnd w:id="164"/>
    <w:bookmarkStart w:id="165" w:name="balanced-future-for-dystonia"/>
    <w:p>
      <w:pPr>
        <w:pStyle w:val="Heading3"/>
        <w:keepNext/>
      </w:pPr>
      <w:r>
        <w:rPr>
          <w:rFonts w:ascii="Liberation Sans" w:hAnsi="Liberation Sans" w:eastAsia="Liberation Sans"/>
        </w:rPr>
        <w:t xml:space="preserve">4. Balanced future for dystonia</w:t>
      </w:r>
    </w:p>
    <w:p>
      <w:pPr>
        <w:pStyle w:val="FirstParagraph"/>
      </w:pPr>
      <w:r>
        <w:rPr>
          <w:rFonts w:ascii="Liberation Sans" w:hAnsi="Liberation Sans" w:eastAsia="Liberation Sans"/>
        </w:rPr>
        <w:t xml:space="preserve">If the final synthesis or linked plan explicitly preserved an equivalent</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dystonia/feet relationship</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question, arranged follow-up or testing, and made clear that the foot problem remained neurologically open, the allegation of asymmetric explanatory futures would be seriously weakened.</w:t>
      </w:r>
    </w:p>
    <w:bookmarkEnd w:id="165"/>
    <w:bookmarkStart w:id="166" w:name="independent-downstream-reconstruction"/>
    <w:p>
      <w:pPr>
        <w:pStyle w:val="Heading3"/>
        <w:keepNext/>
      </w:pPr>
      <w:r>
        <w:rPr>
          <w:rFonts w:ascii="Liberation Sans" w:hAnsi="Liberation Sans" w:eastAsia="Liberation Sans"/>
        </w:rPr>
        <w:t xml:space="preserve">5. Independent downstream reconstruction</w:t>
      </w:r>
    </w:p>
    <w:p>
      <w:pPr>
        <w:pStyle w:val="FirstParagraph"/>
      </w:pPr>
      <w:r>
        <w:rPr>
          <w:rFonts w:ascii="Liberation Sans" w:hAnsi="Liberation Sans" w:eastAsia="Liberation Sans"/>
        </w:rPr>
        <w:t xml:space="preserve">The recursive-validation claim would be weakened if later clinicians independently returned to raw observations, deliberately disregarded inherited labels, re-examined the causal map, and—after genuine comparison—still supported the original partition. Such evidence would be especially powerful if generated by specialists unaware of the contested formulation.</w:t>
      </w:r>
    </w:p>
    <w:bookmarkEnd w:id="166"/>
    <w:bookmarkStart w:id="167" w:name="X63bd7fab05f01a16d754e5cf18b47cbc32c9dad"/>
    <w:p>
      <w:pPr>
        <w:pStyle w:val="Heading3"/>
        <w:keepNext/>
      </w:pPr>
      <w:r>
        <w:rPr>
          <w:rFonts w:ascii="Liberation Sans" w:hAnsi="Liberation Sans" w:eastAsia="Liberation Sans"/>
        </w:rPr>
        <w:t xml:space="preserve">6. Proven independence of downstream evidence</w:t>
      </w:r>
    </w:p>
    <w:p>
      <w:pPr>
        <w:pStyle w:val="FirstParagraph"/>
      </w:pPr>
      <w:r>
        <w:rPr>
          <w:rFonts w:ascii="Liberation Sans" w:hAnsi="Liberation Sans" w:eastAsia="Liberation Sans"/>
        </w:rPr>
        <w:t xml:space="preserve">If apparently corroborative later evidence can be shown to have been independently generated rather than inherited, the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documentary descendants</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and endogenous-validation components shrink. The issue is not date but dependence.</w:t>
      </w:r>
    </w:p>
    <w:bookmarkEnd w:id="167"/>
    <w:bookmarkStart w:id="168" w:name="independent-governance-reconstruction"/>
    <w:p>
      <w:pPr>
        <w:pStyle w:val="Heading3"/>
        <w:keepNext/>
      </w:pPr>
      <w:r>
        <w:rPr>
          <w:rFonts w:ascii="Liberation Sans" w:hAnsi="Liberation Sans" w:eastAsia="Liberation Sans"/>
        </w:rPr>
        <w:t xml:space="preserve">7. Independent governance reconstruction</w:t>
      </w:r>
    </w:p>
    <w:p>
      <w:pPr>
        <w:pStyle w:val="FirstParagraph"/>
      </w:pPr>
      <w:r>
        <w:rPr>
          <w:rFonts w:ascii="Liberation Sans" w:hAnsi="Liberation Sans" w:eastAsia="Liberation Sans"/>
        </w:rPr>
        <w:t xml:space="preserve">If a prior institutional review can demonstrate that it reconstructed primary evidence, tested the protest allegation without reasoning from its absence, distinguished independent from derivative records, obtained appropriate specialty expertise, evaluated alternative explanations and directly tested the alleged information architecture, then the claim that governance recursively validated the chart through its descendants would be weakened.</w:t>
      </w:r>
    </w:p>
    <w:bookmarkEnd w:id="168"/>
    <w:bookmarkStart w:id="169" w:name="X0fdc71aa8e826232b4c101f21f7b4111685bbd4"/>
    <w:p>
      <w:pPr>
        <w:pStyle w:val="Heading3"/>
        <w:keepNext/>
      </w:pPr>
      <w:r>
        <w:rPr>
          <w:rFonts w:ascii="Liberation Sans" w:hAnsi="Liberation Sans" w:eastAsia="Liberation Sans"/>
        </w:rPr>
        <w:t xml:space="preserve">8. Temporal evidence inconsistent with the alleged sequence</w:t>
      </w:r>
    </w:p>
    <w:p>
      <w:pPr>
        <w:pStyle w:val="FirstParagraph"/>
      </w:pPr>
      <w:r>
        <w:rPr>
          <w:rFonts w:ascii="Liberation Sans" w:hAnsi="Liberation Sans" w:eastAsia="Liberation Sans"/>
        </w:rPr>
        <w:t xml:space="preserve">Audit logs or version history could falsify important causal links. For example, if the challenged final architecture was completed and immutable before the alleged Protest, and a later addendum or separate record appropriately captured the protest, the claimed post-notice construction would require substantial revision.</w:t>
      </w:r>
    </w:p>
    <w:bookmarkEnd w:id="169"/>
    <w:bookmarkStart w:id="170" w:name="X555172900f903acd25d4481dec63fc9d30cbf19"/>
    <w:p>
      <w:pPr>
        <w:pStyle w:val="Heading3"/>
        <w:keepNext/>
      </w:pPr>
      <w:r>
        <w:rPr>
          <w:rFonts w:ascii="Liberation Sans" w:hAnsi="Liberation Sans" w:eastAsia="Liberation Sans"/>
        </w:rPr>
        <w:t xml:space="preserve">9. Evidence that later contradiction did force global reconstruction</w:t>
      </w:r>
    </w:p>
    <w:p>
      <w:pPr>
        <w:pStyle w:val="FirstParagraph"/>
      </w:pPr>
      <w:r>
        <w:rPr>
          <w:rFonts w:ascii="Liberation Sans" w:hAnsi="Liberation Sans" w:eastAsia="Liberation Sans"/>
        </w:rPr>
        <w:t xml:space="preserve">If the record shows an explicit later event at which clinicians reopened the founding partition, restored the historical feet–dystonia question, reassessed prior peripheral explanations, and communicated the revised information state to primary care and other downstream services,</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constrained corrigibility</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would no longer describe the whole trajectory.</w:t>
      </w:r>
    </w:p>
    <w:bookmarkEnd w:id="170"/>
    <w:bookmarkEnd w:id="171"/>
    <w:bookmarkStart w:id="172" w:name="what-does-not-falsify-the-mechanism"/>
    <w:p>
      <w:pPr>
        <w:pStyle w:val="Heading2"/>
        <w:keepNext/>
      </w:pPr>
      <w:r>
        <w:rPr>
          <w:rFonts w:ascii="Liberation Sans" w:hAnsi="Liberation Sans" w:eastAsia="Liberation Sans"/>
        </w:rPr>
        <w:t xml:space="preserve">What does</w:t>
      </w:r>
      <w:r>
        <w:rPr>
          <w:rFonts w:ascii="Liberation Sans" w:hAnsi="Liberation Sans" w:eastAsia="Liberation Sans"/>
        </w:rPr>
        <w:t xml:space="preserve"> </w:t>
      </w:r>
      <w:r>
        <w:rPr>
          <w:rFonts w:ascii="Liberation Sans" w:hAnsi="Liberation Sans" w:eastAsia="Liberation Sans"/>
          <w:b/>
          <w:bCs/>
        </w:rPr>
        <w:t xml:space="preserve">not</w:t>
      </w:r>
      <w:r>
        <w:rPr>
          <w:rFonts w:ascii="Liberation Sans" w:hAnsi="Liberation Sans" w:eastAsia="Liberation Sans"/>
        </w:rPr>
        <w:t xml:space="preserve"> </w:t>
      </w:r>
      <w:r>
        <w:rPr>
          <w:rFonts w:ascii="Liberation Sans" w:hAnsi="Liberation Sans" w:eastAsia="Liberation Sans"/>
        </w:rPr>
        <w:t xml:space="preserve">falsify the mechanism</w:t>
      </w:r>
    </w:p>
    <w:p>
      <w:pPr>
        <w:pStyle w:val="FirstParagraph"/>
      </w:pPr>
      <w:r>
        <w:rPr>
          <w:rFonts w:ascii="Liberation Sans" w:hAnsi="Liberation Sans" w:eastAsia="Liberation Sans"/>
        </w:rPr>
        <w:t xml:space="preserve">The following facts may be clinically important but do not, by themselves, answer the mechanism:</w:t>
      </w:r>
    </w:p>
    <w:p>
      <w:pPr>
        <w:pStyle w:val="Compact"/>
        <w:numPr>
          <w:ilvl w:val="0"/>
          <w:numId w:val="1010"/>
        </w:numPr>
      </w:pPr>
      <w:r>
        <w:rPr>
          <w:rFonts w:ascii="Liberation Sans" w:hAnsi="Liberation Sans" w:eastAsia="Liberation Sans"/>
        </w:rPr>
        <w:t xml:space="preserve">structural foot pathology existed;</w:t>
      </w:r>
    </w:p>
    <w:p>
      <w:pPr>
        <w:pStyle w:val="Compact"/>
        <w:numPr>
          <w:ilvl w:val="0"/>
          <w:numId w:val="1010"/>
        </w:numPr>
      </w:pPr>
      <w:r>
        <w:rPr>
          <w:rFonts w:ascii="Liberation Sans" w:hAnsi="Liberation Sans" w:eastAsia="Liberation Sans"/>
        </w:rPr>
        <w:t xml:space="preserve">Parkinsonism existed;</w:t>
      </w:r>
    </w:p>
    <w:p>
      <w:pPr>
        <w:pStyle w:val="Compact"/>
        <w:numPr>
          <w:ilvl w:val="0"/>
          <w:numId w:val="1010"/>
        </w:numPr>
      </w:pPr>
      <w:r>
        <w:rPr>
          <w:rFonts w:ascii="Liberation Sans" w:hAnsi="Liberation Sans" w:eastAsia="Liberation Sans"/>
        </w:rPr>
        <w:t xml:space="preserve">alcohol exposure was genuine;</w:t>
      </w:r>
    </w:p>
    <w:p>
      <w:pPr>
        <w:pStyle w:val="Compact"/>
        <w:numPr>
          <w:ilvl w:val="0"/>
          <w:numId w:val="1010"/>
        </w:numPr>
      </w:pPr>
      <w:r>
        <w:rPr>
          <w:rFonts w:ascii="Liberation Sans" w:hAnsi="Liberation Sans" w:eastAsia="Liberation Sans"/>
        </w:rPr>
        <w:t xml:space="preserve">neuropathy was medically conceivable;</w:t>
      </w:r>
    </w:p>
    <w:p>
      <w:pPr>
        <w:pStyle w:val="Compact"/>
        <w:numPr>
          <w:ilvl w:val="0"/>
          <w:numId w:val="1010"/>
        </w:numPr>
      </w:pPr>
      <w:r>
        <w:rPr>
          <w:rFonts w:ascii="Liberation Sans" w:hAnsi="Liberation Sans" w:eastAsia="Liberation Sans"/>
        </w:rPr>
        <w:t xml:space="preserve">individual wording had an innocent possible explanation;</w:t>
      </w:r>
    </w:p>
    <w:p>
      <w:pPr>
        <w:pStyle w:val="Compact"/>
        <w:numPr>
          <w:ilvl w:val="0"/>
          <w:numId w:val="1010"/>
        </w:numPr>
      </w:pPr>
      <w:r>
        <w:rPr>
          <w:rFonts w:ascii="Liberation Sans" w:hAnsi="Liberation Sans" w:eastAsia="Liberation Sans"/>
        </w:rPr>
        <w:t xml:space="preserve">later clinicians acted in good faith;</w:t>
      </w:r>
    </w:p>
    <w:p>
      <w:pPr>
        <w:pStyle w:val="Compact"/>
        <w:numPr>
          <w:ilvl w:val="0"/>
          <w:numId w:val="1010"/>
        </w:numPr>
      </w:pPr>
      <w:r>
        <w:rPr>
          <w:rFonts w:ascii="Liberation Sans" w:hAnsi="Liberation Sans" w:eastAsia="Liberation Sans"/>
        </w:rPr>
        <w:t xml:space="preserve">local symptom labels or treatment plans changed;</w:t>
      </w:r>
    </w:p>
    <w:p>
      <w:pPr>
        <w:pStyle w:val="Compact"/>
        <w:numPr>
          <w:ilvl w:val="0"/>
          <w:numId w:val="1010"/>
        </w:numPr>
      </w:pPr>
      <w:r>
        <w:rPr>
          <w:rFonts w:ascii="Liberation Sans" w:hAnsi="Liberation Sans" w:eastAsia="Liberation Sans"/>
        </w:rPr>
        <w:t xml:space="preserve">the longitudinal record appears coherent;</w:t>
      </w:r>
    </w:p>
    <w:p>
      <w:pPr>
        <w:pStyle w:val="Compact"/>
        <w:numPr>
          <w:ilvl w:val="0"/>
          <w:numId w:val="1010"/>
        </w:numPr>
      </w:pPr>
      <w:r>
        <w:rPr>
          <w:rFonts w:ascii="Liberation Sans" w:hAnsi="Liberation Sans" w:eastAsia="Liberation Sans"/>
        </w:rPr>
        <w:t xml:space="preserve">an earlier review concluded care was acceptable without demonstrating independent reconstruction.</w:t>
      </w:r>
    </w:p>
    <w:p>
      <w:pPr>
        <w:pStyle w:val="FirstParagraph"/>
      </w:pPr>
      <w:r>
        <w:rPr>
          <w:rFonts w:ascii="Liberation Sans" w:hAnsi="Liberation Sans" w:eastAsia="Liberation Sans"/>
        </w:rPr>
        <w:t xml:space="preserve">Those facts can reduce probability or moral gravity when placed in context. They do not logically establish that the founding information state accurately represented the work done or that downstream evidence was independent.</w:t>
      </w:r>
    </w:p>
    <w:bookmarkEnd w:id="172"/>
    <w:bookmarkEnd w:id="173"/>
    <w:bookmarkStart w:id="179" w:name="part-xv-final-ethical-judgments"/>
    <w:p>
      <w:pPr>
        <w:pStyle w:val="Heading1"/>
        <w:keepNext/>
      </w:pPr>
      <w:r>
        <w:rPr>
          <w:rFonts w:ascii="Liberation Sans" w:hAnsi="Liberation Sans" w:eastAsia="Liberation Sans"/>
        </w:rPr>
        <w:t xml:space="preserve">Part XV — Final ethical judgments</w:t>
      </w:r>
    </w:p>
    <w:bookmarkStart w:id="174" w:name="individual-clinician-ethics"/>
    <w:p>
      <w:pPr>
        <w:pStyle w:val="Heading2"/>
        <w:keepNext/>
      </w:pPr>
      <w:r>
        <w:rPr>
          <w:rFonts w:ascii="Liberation Sans" w:hAnsi="Liberation Sans" w:eastAsia="Liberation Sans"/>
        </w:rPr>
        <w:t xml:space="preserve">1. Individual-clinician ethics</w:t>
      </w:r>
    </w:p>
    <w:p>
      <w:pPr>
        <w:pStyle w:val="FirstParagraph"/>
      </w:pPr>
      <w:r>
        <w:rPr>
          <w:rFonts w:ascii="Liberation Sans" w:hAnsi="Liberation Sans" w:eastAsia="Liberation Sans"/>
          <w:b/>
          <w:bCs/>
        </w:rPr>
        <w:t xml:space="preserve">If substantially established</w:t>
      </w:r>
      <w:r>
        <w:rPr>
          <w:rFonts w:ascii="Liberation Sans" w:hAnsi="Liberation Sans" w:eastAsia="Liberation Sans"/>
        </w:rPr>
        <w:t xml:space="preserve">, the alleged conduct would represent a potentially serious problem of professional epistemic integrity, record stewardship and patient participation—not merely a mistaken differential diagnosis. The seriousness would depend on role, authorship, control of the final record, the clinical reasonableness of the 2017 work-up, foreseeability of downstream reliance, the materiality of the Protest, and whether any misleading architecture was negligent, reckless or intentional.</w:t>
      </w:r>
    </w:p>
    <w:p>
      <w:pPr>
        <w:pStyle w:val="BodyText"/>
        <w:widowControl/>
      </w:pPr>
      <w:r>
        <w:rPr>
          <w:rFonts w:ascii="Liberation Sans" w:hAnsi="Liberation Sans" w:eastAsia="Liberation Sans"/>
        </w:rPr>
        <w:t xml:space="preserve">Intent is an aggravating variable, not a necessary element of every ethical wrong. A record can produce foreseeable epistemic harm through careless compression, unexamined assumptions or institutional routines. Conversely, allegations of dishonesty require evidence of consciousness and should never be inferred solely from the document’s effect.</w:t>
      </w:r>
    </w:p>
    <w:bookmarkEnd w:id="174"/>
    <w:bookmarkStart w:id="175" w:name="documentary-ethics"/>
    <w:p>
      <w:pPr>
        <w:pStyle w:val="Heading2"/>
        <w:keepNext/>
      </w:pPr>
      <w:r>
        <w:rPr>
          <w:rFonts w:ascii="Liberation Sans" w:hAnsi="Liberation Sans" w:eastAsia="Liberation Sans"/>
        </w:rPr>
        <w:t xml:space="preserve">2. Documentary ethics</w:t>
      </w:r>
    </w:p>
    <w:p>
      <w:pPr>
        <w:pStyle w:val="FirstParagraph"/>
      </w:pPr>
      <w:r>
        <w:rPr>
          <w:rFonts w:ascii="Liberation Sans" w:hAnsi="Liberation Sans" w:eastAsia="Liberation Sans"/>
        </w:rPr>
        <w:t xml:space="preserve">An authoritative specialist record creates</w:t>
      </w:r>
      <w:r>
        <w:rPr>
          <w:rFonts w:ascii="Liberation Sans" w:hAnsi="Liberation Sans" w:eastAsia="Liberation Sans"/>
        </w:rPr>
        <w:t xml:space="preserve"> </w:t>
      </w:r>
      <w:r>
        <w:rPr>
          <w:rFonts w:ascii="Liberation Sans" w:hAnsi="Liberation Sans" w:eastAsia="Liberation Sans"/>
          <w:b/>
          <w:bCs/>
        </w:rPr>
        <w:t xml:space="preserve">prospective ethical obligations</w:t>
      </w:r>
      <w:r>
        <w:rPr>
          <w:rFonts w:ascii="Liberation Sans" w:hAnsi="Liberation Sans" w:eastAsia="Liberation Sans"/>
        </w:rPr>
        <w:t xml:space="preserve"> </w:t>
      </w:r>
      <w:r>
        <w:rPr>
          <w:rFonts w:ascii="Liberation Sans" w:hAnsi="Liberation Sans" w:eastAsia="Liberation Sans"/>
        </w:rPr>
        <w:t xml:space="preserve">because it becomes an instrument of future care. Those obligations include:</w:t>
      </w:r>
    </w:p>
    <w:p>
      <w:pPr>
        <w:pStyle w:val="Compact"/>
        <w:numPr>
          <w:ilvl w:val="0"/>
          <w:numId w:val="1011"/>
        </w:numPr>
      </w:pPr>
      <w:r>
        <w:rPr>
          <w:rFonts w:ascii="Liberation Sans" w:hAnsi="Liberation Sans" w:eastAsia="Liberation Sans"/>
        </w:rPr>
        <w:t xml:space="preserve">accurate representation of what is known and not known;</w:t>
      </w:r>
    </w:p>
    <w:p>
      <w:pPr>
        <w:pStyle w:val="Compact"/>
        <w:numPr>
          <w:ilvl w:val="0"/>
          <w:numId w:val="1011"/>
        </w:numPr>
      </w:pPr>
      <w:r>
        <w:rPr>
          <w:rFonts w:ascii="Liberation Sans" w:hAnsi="Liberation Sans" w:eastAsia="Liberation Sans"/>
        </w:rPr>
        <w:t xml:space="preserve">clear distinction between observation, patient report and clinician inference;</w:t>
      </w:r>
    </w:p>
    <w:p>
      <w:pPr>
        <w:pStyle w:val="Compact"/>
        <w:numPr>
          <w:ilvl w:val="0"/>
          <w:numId w:val="1011"/>
        </w:numPr>
      </w:pPr>
      <w:r>
        <w:rPr>
          <w:rFonts w:ascii="Liberation Sans" w:hAnsi="Liberation Sans" w:eastAsia="Liberation Sans"/>
        </w:rPr>
        <w:t xml:space="preserve">preservation of material unresolved uncertainty;</w:t>
      </w:r>
    </w:p>
    <w:p>
      <w:pPr>
        <w:pStyle w:val="Compact"/>
        <w:numPr>
          <w:ilvl w:val="0"/>
          <w:numId w:val="1011"/>
        </w:numPr>
      </w:pPr>
      <w:r>
        <w:rPr>
          <w:rFonts w:ascii="Liberation Sans" w:hAnsi="Liberation Sans" w:eastAsia="Liberation Sans"/>
        </w:rPr>
        <w:t xml:space="preserve">accurate attribution of patient statements;</w:t>
      </w:r>
    </w:p>
    <w:p>
      <w:pPr>
        <w:pStyle w:val="Compact"/>
        <w:numPr>
          <w:ilvl w:val="0"/>
          <w:numId w:val="1011"/>
        </w:numPr>
      </w:pPr>
      <w:r>
        <w:rPr>
          <w:rFonts w:ascii="Liberation Sans" w:hAnsi="Liberation Sans" w:eastAsia="Liberation Sans"/>
        </w:rPr>
        <w:t xml:space="preserve">preservation of material dissent or challenge where it changes the meaning of apparent closure;</w:t>
      </w:r>
    </w:p>
    <w:p>
      <w:pPr>
        <w:pStyle w:val="Compact"/>
        <w:numPr>
          <w:ilvl w:val="0"/>
          <w:numId w:val="1011"/>
        </w:numPr>
      </w:pPr>
      <w:r>
        <w:rPr>
          <w:rFonts w:ascii="Liberation Sans" w:hAnsi="Liberation Sans" w:eastAsia="Liberation Sans"/>
        </w:rPr>
        <w:t xml:space="preserve">proportionate representation of competing explanations;</w:t>
      </w:r>
    </w:p>
    <w:p>
      <w:pPr>
        <w:pStyle w:val="Compact"/>
        <w:numPr>
          <w:ilvl w:val="0"/>
          <w:numId w:val="1011"/>
        </w:numPr>
      </w:pPr>
      <w:r>
        <w:rPr>
          <w:rFonts w:ascii="Liberation Sans" w:hAnsi="Liberation Sans" w:eastAsia="Liberation Sans"/>
        </w:rPr>
        <w:t xml:space="preserve">provenance sufficient to evaluate inherited information; and</w:t>
      </w:r>
    </w:p>
    <w:p>
      <w:pPr>
        <w:pStyle w:val="Compact"/>
        <w:numPr>
          <w:ilvl w:val="0"/>
          <w:numId w:val="1011"/>
        </w:numPr>
      </w:pPr>
      <w:r>
        <w:rPr>
          <w:rFonts w:ascii="Liberation Sans" w:hAnsi="Liberation Sans" w:eastAsia="Liberation Sans"/>
        </w:rPr>
        <w:t xml:space="preserve">correction, qualification or supplementation when later evidence materially changes the epistemic state.</w:t>
      </w:r>
    </w:p>
    <w:p>
      <w:pPr>
        <w:pStyle w:val="FirstParagraph"/>
      </w:pPr>
      <w:r>
        <w:rPr>
          <w:rFonts w:ascii="Liberation Sans" w:hAnsi="Liberation Sans" w:eastAsia="Liberation Sans"/>
        </w:rPr>
        <w:t xml:space="preserve">The ethical object is therefore not only the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medical record</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as archive. It is the</w:t>
      </w:r>
      <w:r>
        <w:rPr>
          <w:rFonts w:ascii="Liberation Sans" w:hAnsi="Liberation Sans" w:eastAsia="Liberation Sans"/>
        </w:rPr>
        <w:t xml:space="preserve"> </w:t>
      </w:r>
      <w:r>
        <w:rPr>
          <w:rFonts w:ascii="Liberation Sans" w:hAnsi="Liberation Sans" w:eastAsia="Liberation Sans"/>
          <w:b/>
          <w:bCs/>
        </w:rPr>
        <w:t xml:space="preserve">information state exported to future decision-makers</w:t>
      </w:r>
      <w:r>
        <w:rPr>
          <w:rFonts w:ascii="Liberation Sans" w:hAnsi="Liberation Sans" w:eastAsia="Liberation Sans"/>
        </w:rPr>
        <w:t xml:space="preserve">.</w:t>
      </w:r>
    </w:p>
    <w:bookmarkEnd w:id="175"/>
    <w:bookmarkStart w:id="176" w:name="longitudinal-care-ethics"/>
    <w:p>
      <w:pPr>
        <w:pStyle w:val="Heading2"/>
        <w:keepNext/>
      </w:pPr>
      <w:r>
        <w:rPr>
          <w:rFonts w:ascii="Liberation Sans" w:hAnsi="Liberation Sans" w:eastAsia="Liberation Sans"/>
        </w:rPr>
        <w:t xml:space="preserve">3. Longitudinal-care ethics</w:t>
      </w:r>
    </w:p>
    <w:p>
      <w:pPr>
        <w:pStyle w:val="FirstParagraph"/>
      </w:pPr>
      <w:r>
        <w:rPr>
          <w:rFonts w:ascii="Liberation Sans" w:hAnsi="Liberation Sans" w:eastAsia="Liberation Sans"/>
        </w:rPr>
        <w:t xml:space="preserve">When later evidence repeatedly crosses a founding diagnostic partition—new dystonic manifestations, treatment response, changed mechanism, genotype, or other materially integrative evidence—the duty is not satisfied by local re-labelling alone. At some threshold, continuity of care requires</w:t>
      </w:r>
      <w:r>
        <w:rPr>
          <w:rFonts w:ascii="Liberation Sans" w:hAnsi="Liberation Sans" w:eastAsia="Liberation Sans"/>
        </w:rPr>
        <w:t xml:space="preserve"> </w:t>
      </w:r>
      <w:r>
        <w:rPr>
          <w:rFonts w:ascii="Liberation Sans" w:hAnsi="Liberation Sans" w:eastAsia="Liberation Sans"/>
          <w:b/>
          <w:bCs/>
        </w:rPr>
        <w:t xml:space="preserve">global model review</w:t>
      </w:r>
      <w:r>
        <w:rPr>
          <w:rFonts w:ascii="Liberation Sans" w:hAnsi="Liberation Sans" w:eastAsia="Liberation Sans"/>
        </w:rPr>
        <w:t xml:space="preserve">: asking whether the original causal separation should itself be redrawn and whether downstream clinicians need an updated synthesis.</w:t>
      </w:r>
    </w:p>
    <w:p>
      <w:pPr>
        <w:pStyle w:val="BodyText"/>
        <w:widowControl/>
      </w:pPr>
      <w:r>
        <w:rPr>
          <w:rFonts w:ascii="Liberation Sans" w:hAnsi="Liberation Sans" w:eastAsia="Liberation Sans"/>
        </w:rPr>
        <w:t xml:space="preserve">This is the clinical expression of double-loop learning. It does not mean every new symptom requires wholesale rediagnosis; it means accumulating cross-partition evidence must eventually trigger a review at the level where the partition was created.</w:t>
      </w:r>
    </w:p>
    <w:bookmarkEnd w:id="176"/>
    <w:bookmarkStart w:id="177" w:name="institutional-ethics"/>
    <w:p>
      <w:pPr>
        <w:pStyle w:val="Heading2"/>
        <w:keepNext/>
      </w:pPr>
      <w:r>
        <w:rPr>
          <w:rFonts w:ascii="Liberation Sans" w:hAnsi="Liberation Sans" w:eastAsia="Liberation Sans"/>
        </w:rPr>
        <w:t xml:space="preserve">4. Institutional ethics</w:t>
      </w:r>
    </w:p>
    <w:p>
      <w:pPr>
        <w:pStyle w:val="FirstParagraph"/>
      </w:pPr>
      <w:r>
        <w:rPr>
          <w:rFonts w:ascii="Liberation Sans" w:hAnsi="Liberation Sans" w:eastAsia="Liberation Sans"/>
        </w:rPr>
        <w:t xml:space="preserve">Health systems have an ethical responsibility to detect self-reinforcing information states. A just culture should protect staff from simplistic hindsight blame while refusing a second, opposite error: treating longitudinal documentary consistency as independent proof when the founding record helped create that consistency.</w:t>
      </w:r>
    </w:p>
    <w:p>
      <w:pPr>
        <w:pStyle w:val="BodyText"/>
        <w:widowControl/>
      </w:pPr>
      <w:r>
        <w:rPr>
          <w:rFonts w:ascii="Liberation Sans" w:hAnsi="Liberation Sans" w:eastAsia="Liberation Sans"/>
        </w:rPr>
        <w:t xml:space="preserve">Competent institutional review should therefore include provenance analysis, independent evidence classification, primary-source reconstruction, patient testimony, appropriately blinded clinical expertise where feasible, alternative explanations, and explicit falsification criteria. The aim is neither prosecution nor exoneration by narrative inertia. It is system learning.</w:t>
      </w:r>
    </w:p>
    <w:bookmarkEnd w:id="177"/>
    <w:bookmarkStart w:id="178" w:name="societal-significance"/>
    <w:p>
      <w:pPr>
        <w:pStyle w:val="Heading2"/>
        <w:keepNext/>
      </w:pPr>
      <w:r>
        <w:rPr>
          <w:rFonts w:ascii="Liberation Sans" w:hAnsi="Liberation Sans" w:eastAsia="Liberation Sans"/>
        </w:rPr>
        <w:t xml:space="preserve">5. Societal significance</w:t>
      </w:r>
    </w:p>
    <w:p>
      <w:pPr>
        <w:pStyle w:val="FirstParagraph"/>
      </w:pPr>
      <w:r>
        <w:rPr>
          <w:rFonts w:ascii="Liberation Sans" w:hAnsi="Liberation Sans" w:eastAsia="Liberation Sans"/>
          <w:b/>
          <w:bCs/>
        </w:rPr>
        <w:t xml:space="preserve">Yes—conditionally.</w:t>
      </w:r>
      <w:r>
        <w:rPr>
          <w:rFonts w:ascii="Liberation Sans" w:hAnsi="Liberation Sans" w:eastAsia="Liberation Sans"/>
        </w:rPr>
        <w:t xml:space="preserve"> </w:t>
      </w:r>
      <w:r>
        <w:rPr>
          <w:rFonts w:ascii="Liberation Sans" w:hAnsi="Liberation Sans" w:eastAsia="Liberation Sans"/>
        </w:rPr>
        <w:t xml:space="preserve">The proposed mechanism identifies a plausible generalisable patient-safety problem at the intersection of diagnostic safety, medical-record integrity, health informatics, epistemic justice and organisational learning. Modern healthcare increasingly depends on portable and interoperable summaries. That increases both the value of accurate synthesis and the scale of harm when epistemic status is misrepresented.</w:t>
      </w:r>
    </w:p>
    <w:p>
      <w:pPr>
        <w:pStyle w:val="BodyText"/>
        <w:widowControl/>
      </w:pPr>
      <w:r>
        <w:rPr>
          <w:rFonts w:ascii="Liberation Sans" w:hAnsi="Liberation Sans" w:eastAsia="Liberation Sans"/>
        </w:rPr>
        <w:t xml:space="preserve">The case should not be promoted as a general theory until its own evidential foundation is stronger. But the mechanism is sufficiently coherent, connected to existing literatures and operationalisable to warrant serious scholarly and patient-safety examination.</w:t>
      </w:r>
    </w:p>
    <w:bookmarkEnd w:id="178"/>
    <w:bookmarkEnd w:id="179"/>
    <w:bookmarkStart w:id="183" w:name="X3177fc0453e7c5fca32ba71eefe234ba7e58c17"/>
    <w:p>
      <w:pPr>
        <w:pStyle w:val="Heading1"/>
        <w:keepNext/>
      </w:pPr>
      <w:r>
        <w:rPr>
          <w:rFonts w:ascii="Liberation Sans" w:hAnsi="Liberation Sans" w:eastAsia="Liberation Sans"/>
        </w:rPr>
        <w:t xml:space="preserve">Who should care, ranked — and what each is being asked to examine</w:t>
      </w:r>
    </w:p>
    <w:bookmarkStart w:id="180" w:name="Xb342d9524a58a8811f110557a0a71df8ee2d82d"/>
    <w:p>
      <w:pPr>
        <w:pStyle w:val="Heading2"/>
        <w:keepNext/>
      </w:pPr>
      <w:r>
        <w:rPr>
          <w:rFonts w:ascii="Liberation Sans" w:hAnsi="Liberation Sans" w:eastAsia="Liberation Sans"/>
        </w:rPr>
        <w:t xml:space="preserve">Tier 1 — Direct action / evidence reconstruction</w:t>
      </w:r>
    </w:p>
    <w:p>
      <w:pPr>
        <w:pStyle w:val="FirstParagraph"/>
      </w:pPr>
      <w:r>
        <w:rPr>
          <w:rFonts w:ascii="Liberation Sans" w:hAnsi="Liberation Sans" w:eastAsia="Liberation Sans"/>
          <w:b/>
          <w:bCs/>
        </w:rPr>
        <w:t xml:space="preserve">1. Treating hospital/service and current HSE Health Region.</w:t>
      </w:r>
      <w:r>
        <w:rPr>
          <w:rFonts w:ascii="Liberation Sans" w:hAnsi="Liberation Sans" w:eastAsia="Liberation Sans"/>
        </w:rPr>
        <w:t xml:space="preserve"> </w:t>
      </w:r>
      <w:r>
        <w:rPr>
          <w:rFonts w:ascii="Liberation Sans" w:hAnsi="Liberation Sans" w:eastAsia="Liberation Sans"/>
        </w:rPr>
        <w:t xml:space="preserve">Asked to reconstruct the primary record, protest, authorship, clinical reasoning and downstream information flow; determine whether an incident/governance response is required; and correct the present information state if appropriate.</w:t>
      </w:r>
    </w:p>
    <w:p>
      <w:pPr>
        <w:pStyle w:val="BodyText"/>
        <w:widowControl/>
      </w:pPr>
      <w:r>
        <w:rPr>
          <w:rFonts w:ascii="Liberation Sans" w:hAnsi="Liberation Sans" w:eastAsia="Liberation Sans"/>
          <w:b/>
          <w:bCs/>
        </w:rPr>
        <w:t xml:space="preserve">2. HSE QPS / Incident Management.</w:t>
      </w:r>
      <w:r>
        <w:rPr>
          <w:rFonts w:ascii="Liberation Sans" w:hAnsi="Liberation Sans" w:eastAsia="Liberation Sans"/>
        </w:rPr>
        <w:t xml:space="preserve"> </w:t>
      </w:r>
      <w:r>
        <w:rPr>
          <w:rFonts w:ascii="Liberation Sans" w:hAnsi="Liberation Sans" w:eastAsia="Liberation Sans"/>
        </w:rPr>
        <w:t xml:space="preserve">Asked to determine whether the case reveals a patient-safety failure mode involving documentary inheritance, constrained learning and non-independent longitudinal evidence, and whether incident-review methodology adequately detects it.</w:t>
      </w:r>
    </w:p>
    <w:p>
      <w:pPr>
        <w:pStyle w:val="BodyText"/>
        <w:widowControl/>
      </w:pPr>
      <w:r>
        <w:rPr>
          <w:rFonts w:ascii="Liberation Sans" w:hAnsi="Liberation Sans" w:eastAsia="Liberation Sans"/>
          <w:b/>
          <w:bCs/>
        </w:rPr>
        <w:t xml:space="preserve">3. Medical Council — once a serious, investigable doctor-specific evidential threshold is met.</w:t>
      </w:r>
      <w:r>
        <w:rPr>
          <w:rFonts w:ascii="Liberation Sans" w:hAnsi="Liberation Sans" w:eastAsia="Liberation Sans"/>
        </w:rPr>
        <w:t xml:space="preserve"> </w:t>
      </w:r>
      <w:r>
        <w:rPr>
          <w:rFonts w:ascii="Liberation Sans" w:hAnsi="Liberation Sans" w:eastAsia="Liberation Sans"/>
        </w:rPr>
        <w:t xml:space="preserve">Asked to determine whether an identifiable registered doctor’s conduct or performance fell below statutory/professional standards, not to adjudicate the entire health system or amend the chart.</w:t>
      </w:r>
    </w:p>
    <w:p>
      <w:pPr>
        <w:pStyle w:val="BodyText"/>
        <w:widowControl/>
      </w:pPr>
      <w:r>
        <w:rPr>
          <w:rFonts w:ascii="Liberation Sans" w:hAnsi="Liberation Sans" w:eastAsia="Liberation Sans"/>
          <w:b/>
          <w:bCs/>
        </w:rPr>
        <w:t xml:space="preserve">4. Data Protection Commission — only for a precise data proposition.</w:t>
      </w:r>
      <w:r>
        <w:rPr>
          <w:rFonts w:ascii="Liberation Sans" w:hAnsi="Liberation Sans" w:eastAsia="Liberation Sans"/>
        </w:rPr>
        <w:t xml:space="preserve"> </w:t>
      </w:r>
      <w:r>
        <w:rPr>
          <w:rFonts w:ascii="Liberation Sans" w:hAnsi="Liberation Sans" w:eastAsia="Liberation Sans"/>
        </w:rPr>
        <w:t xml:space="preserve">Asked to assess accuracy/completeness/attribution and Article 16 rights, not to decide neurological correctness.</w:t>
      </w:r>
    </w:p>
    <w:bookmarkEnd w:id="180"/>
    <w:bookmarkStart w:id="181" w:name="X568524500a89755d9c00a595f64a103d45ab838"/>
    <w:p>
      <w:pPr>
        <w:pStyle w:val="Heading2"/>
        <w:keepNext/>
      </w:pPr>
      <w:r>
        <w:rPr>
          <w:rFonts w:ascii="Liberation Sans" w:hAnsi="Liberation Sans" w:eastAsia="Liberation Sans"/>
        </w:rPr>
        <w:t xml:space="preserve">Tier 2 — Administrative, standards and support functions</w:t>
      </w:r>
    </w:p>
    <w:p>
      <w:pPr>
        <w:pStyle w:val="FirstParagraph"/>
      </w:pPr>
      <w:r>
        <w:rPr>
          <w:rFonts w:ascii="Liberation Sans" w:hAnsi="Liberation Sans" w:eastAsia="Liberation Sans"/>
          <w:b/>
          <w:bCs/>
        </w:rPr>
        <w:t xml:space="preserve">5. Patient Advocacy Service.</w:t>
      </w:r>
      <w:r>
        <w:rPr>
          <w:rFonts w:ascii="Liberation Sans" w:hAnsi="Liberation Sans" w:eastAsia="Liberation Sans"/>
        </w:rPr>
        <w:t xml:space="preserve"> </w:t>
      </w:r>
      <w:r>
        <w:rPr>
          <w:rFonts w:ascii="Liberation Sans" w:hAnsi="Liberation Sans" w:eastAsia="Liberation Sans"/>
        </w:rPr>
        <w:t xml:space="preserve">Asked to support accurate, proportionate presentation of the complaint and preserve the patient’s participation.</w:t>
      </w:r>
    </w:p>
    <w:p>
      <w:pPr>
        <w:pStyle w:val="BodyText"/>
        <w:widowControl/>
      </w:pPr>
      <w:r>
        <w:rPr>
          <w:rFonts w:ascii="Liberation Sans" w:hAnsi="Liberation Sans" w:eastAsia="Liberation Sans"/>
          <w:b/>
          <w:bCs/>
        </w:rPr>
        <w:t xml:space="preserve">6. HIQA.</w:t>
      </w:r>
      <w:r>
        <w:rPr>
          <w:rFonts w:ascii="Liberation Sans" w:hAnsi="Liberation Sans" w:eastAsia="Liberation Sans"/>
        </w:rPr>
        <w:t xml:space="preserve"> </w:t>
      </w:r>
      <w:r>
        <w:rPr>
          <w:rFonts w:ascii="Liberation Sans" w:hAnsi="Liberation Sans" w:eastAsia="Liberation Sans"/>
        </w:rPr>
        <w:t xml:space="preserve">Asked to treat the mechanism as service-level safety/information-governance intelligence and consider whether standards implementation or assurance needs attention—not to decide the individual complaint.</w:t>
      </w:r>
    </w:p>
    <w:p>
      <w:pPr>
        <w:pStyle w:val="BodyText"/>
        <w:widowControl/>
      </w:pPr>
      <w:r>
        <w:rPr>
          <w:rFonts w:ascii="Liberation Sans" w:hAnsi="Liberation Sans" w:eastAsia="Liberation Sans"/>
          <w:b/>
          <w:bCs/>
        </w:rPr>
        <w:t xml:space="preserve">7. Office of the Ombudsman.</w:t>
      </w:r>
      <w:r>
        <w:rPr>
          <w:rFonts w:ascii="Liberation Sans" w:hAnsi="Liberation Sans" w:eastAsia="Liberation Sans"/>
        </w:rPr>
        <w:t xml:space="preserve"> </w:t>
      </w:r>
      <w:r>
        <w:rPr>
          <w:rFonts w:ascii="Liberation Sans" w:hAnsi="Liberation Sans" w:eastAsia="Liberation Sans"/>
        </w:rPr>
        <w:t xml:space="preserve">Asked to examine any severable maladministration or complaint-handling failure, not clinical judgment.</w:t>
      </w:r>
    </w:p>
    <w:p>
      <w:pPr>
        <w:pStyle w:val="BodyText"/>
        <w:widowControl/>
      </w:pPr>
      <w:r>
        <w:rPr>
          <w:rFonts w:ascii="Liberation Sans" w:hAnsi="Liberation Sans" w:eastAsia="Liberation Sans"/>
          <w:b/>
          <w:bCs/>
        </w:rPr>
        <w:t xml:space="preserve">8. National Patient Safety Office / Department of Health.</w:t>
      </w:r>
      <w:r>
        <w:rPr>
          <w:rFonts w:ascii="Liberation Sans" w:hAnsi="Liberation Sans" w:eastAsia="Liberation Sans"/>
        </w:rPr>
        <w:t xml:space="preserve"> </w:t>
      </w:r>
      <w:r>
        <w:rPr>
          <w:rFonts w:ascii="Liberation Sans" w:hAnsi="Liberation Sans" w:eastAsia="Liberation Sans"/>
        </w:rPr>
        <w:t xml:space="preserve">Asked, after evidential maturation, whether national patient-safety or health-information policy should address self-reinforcing clinical information states.</w:t>
      </w:r>
    </w:p>
    <w:p>
      <w:pPr>
        <w:pStyle w:val="BodyText"/>
        <w:widowControl/>
      </w:pPr>
      <w:r>
        <w:rPr>
          <w:rFonts w:ascii="Liberation Sans" w:hAnsi="Liberation Sans" w:eastAsia="Liberation Sans"/>
          <w:b/>
          <w:bCs/>
        </w:rPr>
        <w:t xml:space="preserve">9. RCPI / postgraduate training community.</w:t>
      </w:r>
      <w:r>
        <w:rPr>
          <w:rFonts w:ascii="Liberation Sans" w:hAnsi="Liberation Sans" w:eastAsia="Liberation Sans"/>
        </w:rPr>
        <w:t xml:space="preserve"> </w:t>
      </w:r>
      <w:r>
        <w:rPr>
          <w:rFonts w:ascii="Liberation Sans" w:hAnsi="Liberation Sans" w:eastAsia="Liberation Sans"/>
        </w:rPr>
        <w:t xml:space="preserve">Asked whether professional education, diagnostic stewardship and reflective practice should teach clinicians how records redistribute future doubt and how to perform global causal-map review.</w:t>
      </w:r>
    </w:p>
    <w:bookmarkEnd w:id="181"/>
    <w:bookmarkStart w:id="182" w:name="X0ea5959f0b08596063c19926999ff37e838c067"/>
    <w:p>
      <w:pPr>
        <w:pStyle w:val="Heading2"/>
        <w:keepNext/>
      </w:pPr>
      <w:r>
        <w:rPr>
          <w:rFonts w:ascii="Liberation Sans" w:hAnsi="Liberation Sans" w:eastAsia="Liberation Sans"/>
        </w:rPr>
        <w:t xml:space="preserve">Tier 3 — European and global norm-setting / research</w:t>
      </w:r>
    </w:p>
    <w:p>
      <w:pPr>
        <w:pStyle w:val="FirstParagraph"/>
      </w:pPr>
      <w:r>
        <w:rPr>
          <w:rFonts w:ascii="Liberation Sans" w:hAnsi="Liberation Sans" w:eastAsia="Liberation Sans"/>
          <w:b/>
          <w:bCs/>
        </w:rPr>
        <w:t xml:space="preserve">10. Council of Europe CDBIO; WMA; WHO; UNESCO bioethics.</w:t>
      </w:r>
      <w:r>
        <w:rPr>
          <w:rFonts w:ascii="Liberation Sans" w:hAnsi="Liberation Sans" w:eastAsia="Liberation Sans"/>
        </w:rPr>
        <w:t xml:space="preserve"> </w:t>
      </w:r>
      <w:r>
        <w:rPr>
          <w:rFonts w:ascii="Liberation Sans" w:hAnsi="Liberation Sans" w:eastAsia="Liberation Sans"/>
        </w:rPr>
        <w:t xml:space="preserve">Asked to examine the general normative proposition: what ethical duties arise when specialist documentation becomes portable infrastructure for future care, and how should patient participation, uncertainty and correction be protected?</w:t>
      </w:r>
    </w:p>
    <w:p>
      <w:pPr>
        <w:pStyle w:val="BodyText"/>
        <w:widowControl/>
      </w:pPr>
      <w:r>
        <w:rPr>
          <w:rFonts w:ascii="Liberation Sans" w:hAnsi="Liberation Sans" w:eastAsia="Liberation Sans"/>
          <w:b/>
          <w:bCs/>
        </w:rPr>
        <w:t xml:space="preserve">11. ISQua and diagnostic-safety communities.</w:t>
      </w:r>
      <w:r>
        <w:rPr>
          <w:rFonts w:ascii="Liberation Sans" w:hAnsi="Liberation Sans" w:eastAsia="Liberation Sans"/>
        </w:rPr>
        <w:t xml:space="preserve"> </w:t>
      </w:r>
      <w:r>
        <w:rPr>
          <w:rFonts w:ascii="Liberation Sans" w:hAnsi="Liberation Sans" w:eastAsia="Liberation Sans"/>
        </w:rPr>
        <w:t xml:space="preserve">Asked to test the mechanism as a system-safety model and develop interventions and review methods.</w:t>
      </w:r>
    </w:p>
    <w:p>
      <w:pPr>
        <w:pStyle w:val="BodyText"/>
        <w:widowControl/>
      </w:pPr>
      <w:r>
        <w:rPr>
          <w:rFonts w:ascii="Liberation Sans" w:hAnsi="Liberation Sans" w:eastAsia="Liberation Sans"/>
          <w:b/>
          <w:bCs/>
        </w:rPr>
        <w:t xml:space="preserve">12. EFMI / IMIA / AMIA and health-informatics researchers.</w:t>
      </w:r>
      <w:r>
        <w:rPr>
          <w:rFonts w:ascii="Liberation Sans" w:hAnsi="Liberation Sans" w:eastAsia="Liberation Sans"/>
        </w:rPr>
        <w:t xml:space="preserve"> </w:t>
      </w:r>
      <w:r>
        <w:rPr>
          <w:rFonts w:ascii="Liberation Sans" w:hAnsi="Liberation Sans" w:eastAsia="Liberation Sans"/>
        </w:rPr>
        <w:t xml:space="preserve">Asked to design technical safeguards for provenance, uncertainty, inherited labels, patient supplementary statements and evidence independence.</w:t>
      </w:r>
    </w:p>
    <w:p>
      <w:pPr>
        <w:pStyle w:val="BodyText"/>
        <w:widowControl/>
      </w:pPr>
      <w:r>
        <w:rPr>
          <w:rFonts w:ascii="Liberation Sans" w:hAnsi="Liberation Sans" w:eastAsia="Liberation Sans"/>
          <w:b/>
          <w:bCs/>
        </w:rPr>
        <w:t xml:space="preserve">13. ESPMH, EACME, epistemic-injustice and philosophy-of-medicine scholars.</w:t>
      </w:r>
      <w:r>
        <w:rPr>
          <w:rFonts w:ascii="Liberation Sans" w:hAnsi="Liberation Sans" w:eastAsia="Liberation Sans"/>
        </w:rPr>
        <w:t xml:space="preserve"> </w:t>
      </w:r>
      <w:r>
        <w:rPr>
          <w:rFonts w:ascii="Liberation Sans" w:hAnsi="Liberation Sans" w:eastAsia="Liberation Sans"/>
        </w:rPr>
        <w:t xml:space="preserve">Asked to examine the concepts of portable apparent knowledge, constrained corrigibility, asymmetric explanatory futures, warning-label removal and relational stewardship, and to identify their philosophical limits.</w:t>
      </w:r>
    </w:p>
    <w:p>
      <w:pPr>
        <w:pStyle w:val="BodyText"/>
        <w:widowControl/>
      </w:pPr>
      <w:r>
        <w:rPr>
          <w:rFonts w:ascii="Liberation Sans" w:hAnsi="Liberation Sans" w:eastAsia="Liberation Sans"/>
          <w:b/>
          <w:bCs/>
        </w:rPr>
        <w:t xml:space="preserve">14. Peer-reviewed medical ethics, safety, diagnostic and informatics journals.</w:t>
      </w:r>
      <w:r>
        <w:rPr>
          <w:rFonts w:ascii="Liberation Sans" w:hAnsi="Liberation Sans" w:eastAsia="Liberation Sans"/>
        </w:rPr>
        <w:t xml:space="preserve"> </w:t>
      </w:r>
      <w:r>
        <w:rPr>
          <w:rFonts w:ascii="Liberation Sans" w:hAnsi="Liberation Sans" w:eastAsia="Liberation Sans"/>
        </w:rPr>
        <w:t xml:space="preserve">Asked to scrutinise a publication-grade, de-identified and falsifiable account—not to serve as an alternative complaints tribunal.</w:t>
      </w:r>
    </w:p>
    <w:bookmarkEnd w:id="182"/>
    <w:bookmarkEnd w:id="183"/>
    <w:bookmarkStart w:id="184" w:name="overall-conclusion"/>
    <w:p>
      <w:pPr>
        <w:pStyle w:val="Heading1"/>
        <w:keepNext/>
      </w:pPr>
      <w:r>
        <w:rPr>
          <w:rFonts w:ascii="Liberation Sans" w:hAnsi="Liberation Sans" w:eastAsia="Liberation Sans"/>
        </w:rPr>
        <w:t xml:space="preserve">Overall conclusion</w:t>
      </w:r>
    </w:p>
    <w:p>
      <w:pPr>
        <w:pStyle w:val="FirstParagraph"/>
      </w:pPr>
      <w:r>
        <w:rPr>
          <w:rFonts w:ascii="Liberation Sans" w:hAnsi="Liberation Sans" w:eastAsia="Liberation Sans"/>
        </w:rPr>
        <w:t xml:space="preserve">The strongest version of the allegation is ethically coherent. It describes a possible</w:t>
      </w:r>
      <w:r>
        <w:rPr>
          <w:rFonts w:ascii="Liberation Sans" w:hAnsi="Liberation Sans" w:eastAsia="Liberation Sans"/>
        </w:rPr>
        <w:t xml:space="preserve"> </w:t>
      </w:r>
      <w:r>
        <w:rPr>
          <w:rFonts w:ascii="Liberation Sans" w:hAnsi="Liberation Sans" w:eastAsia="Liberation Sans"/>
          <w:b/>
          <w:bCs/>
        </w:rPr>
        <w:t xml:space="preserve">information-governance failure in clinical medicine</w:t>
      </w:r>
      <w:r>
        <w:rPr>
          <w:rFonts w:ascii="Liberation Sans" w:hAnsi="Liberation Sans" w:eastAsia="Liberation Sans"/>
        </w:rPr>
        <w:t xml:space="preserve"> </w:t>
      </w:r>
      <w:r>
        <w:rPr>
          <w:rFonts w:ascii="Liberation Sans" w:hAnsi="Liberation Sans" w:eastAsia="Liberation Sans"/>
        </w:rPr>
        <w:t xml:space="preserve">in which specialist authority does more than reach a diagnosis: it creates an epistemic object that travels. If that object makes an inadequately investigated relationship look sufficiently investigated, removes a contemporaneous warning that closure was disputed, gives one hypothesis a durable future while underdeveloping another observed relationship, and then helps generate the downstream documentation later used to defend it, the resulting wrong is both individual and systemic.</w:t>
      </w:r>
    </w:p>
    <w:p>
      <w:pPr>
        <w:pStyle w:val="BodyText"/>
        <w:widowControl/>
      </w:pPr>
      <w:r>
        <w:rPr>
          <w:rFonts w:ascii="Liberation Sans" w:hAnsi="Liberation Sans" w:eastAsia="Liberation Sans"/>
        </w:rPr>
        <w:t xml:space="preserve">The ethical response must be equally disciplined. The mechanism should not be diluted into</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doctors sometimes make mistakes,</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but neither should it be insulated from falsification. The next evidential step is not broader accusation. It is</w:t>
      </w:r>
      <w:r>
        <w:rPr>
          <w:rFonts w:ascii="Liberation Sans" w:hAnsi="Liberation Sans" w:eastAsia="Liberation Sans"/>
        </w:rPr>
        <w:t xml:space="preserve"> </w:t>
      </w:r>
      <w:r>
        <w:rPr>
          <w:rFonts w:ascii="Liberation Sans" w:hAnsi="Liberation Sans" w:eastAsia="Liberation Sans"/>
          <w:b/>
          <w:bCs/>
        </w:rPr>
        <w:t xml:space="preserve">independent reconstruction</w:t>
      </w:r>
      <w:r>
        <w:rPr>
          <w:rFonts w:ascii="Liberation Sans" w:hAnsi="Liberation Sans" w:eastAsia="Liberation Sans"/>
        </w:rPr>
        <w:t xml:space="preserve">: source provenance, protest evidence, contemporaneous clinical expert review, and a dependency map separating genuinely new evidence from documentary descendants.</w:t>
      </w:r>
    </w:p>
    <w:p>
      <w:pPr>
        <w:pStyle w:val="BodyText"/>
        <w:widowControl/>
      </w:pPr>
      <w:r>
        <w:rPr>
          <w:rFonts w:ascii="Liberation Sans" w:hAnsi="Liberation Sans" w:eastAsia="Liberation Sans"/>
        </w:rPr>
        <w:t xml:space="preserve">Only after that reconstruction should the issue widen in stages—from provider and HSE governance, to any properly framed professional/data/administrative jurisdiction, and then to de-identified scholarly and policy scrutiny. That sequence preserves both seriousness and fairness.</w:t>
      </w:r>
    </w:p>
    <w:bookmarkEnd w:id="184"/>
    <w:sectPr>
      <w:pgSz w:w="12240" w:h="15840"/>
      <w:pgMar w:top="1037" w:bottom="1037" w:left="1123" w:right="1123" w:header="432"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eastAsia="Liberation Sans"/>
        <w:color w:val="697078"/>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Marc Berg and Geoffrey Bowker,</w:t>
      </w:r>
      <w:r>
        <w:t xml:space="preserve"> </w:t>
      </w:r>
      <w:r>
        <w:t xml:space="preserve">“</w:t>
      </w:r>
      <w:r>
        <w:t xml:space="preserve">The Multiple Bodies of the Medical Record: Toward a Sociology of an Artifact,</w:t>
      </w:r>
      <w:r>
        <w:t xml:space="preserve">”</w:t>
      </w:r>
      <w:r>
        <w:t xml:space="preserve"> </w:t>
      </w:r>
      <w:r>
        <w:rPr>
          <w:i/>
          <w:iCs/>
        </w:rPr>
        <w:t xml:space="preserve">The Sociological Quarterly</w:t>
      </w:r>
      <w:r>
        <w:t xml:space="preserve"> </w:t>
      </w:r>
      <w:r>
        <w:t xml:space="preserve">38(3) (1997): 513–537, https://doi.org/10.1111/j.1533-8525.1997.tb00490.x. The paper argues that records do not merely represent a patient’s history but participate in the production and coordination of clinical knowledge.</w:t>
      </w:r>
    </w:p>
  </w:footnote>
  <w:footnote w:id="21">
    <w:p>
      <w:pPr>
        <w:pStyle w:val="FootnoteText"/>
      </w:pPr>
      <w:r>
        <w:rPr>
          <w:rStyle w:val="FootnoteReference"/>
        </w:rPr>
        <w:footnoteRef/>
      </w:r>
      <w:r>
        <w:t xml:space="preserve"> </w:t>
      </w:r>
      <w:r>
        <w:t xml:space="preserve">Anna P. Goddu et al.,</w:t>
      </w:r>
      <w:r>
        <w:t xml:space="preserve"> </w:t>
      </w:r>
      <w:r>
        <w:t xml:space="preserve">“</w:t>
      </w:r>
      <w:r>
        <w:t xml:space="preserve">Do Words Matter? Stigmatizing Language and the Transmission of Bias in the Medical Record,</w:t>
      </w:r>
      <w:r>
        <w:t xml:space="preserve">”</w:t>
      </w:r>
      <w:r>
        <w:t xml:space="preserve"> </w:t>
      </w:r>
      <w:r>
        <w:rPr>
          <w:i/>
          <w:iCs/>
        </w:rPr>
        <w:t xml:space="preserve">Journal of General Internal Medicine</w:t>
      </w:r>
      <w:r>
        <w:t xml:space="preserve"> </w:t>
      </w:r>
      <w:r>
        <w:t xml:space="preserve">33 (2018): 685–691, https://pmc.ncbi.nlm.nih.gov/articles/PMC5910343/. In a randomized vignette study, stigmatizing note language changed trainees’ attitudes and pain-management choices despite medically equivalent information.</w:t>
      </w:r>
    </w:p>
  </w:footnote>
  <w:footnote w:id="23">
    <w:p>
      <w:pPr>
        <w:pStyle w:val="FootnoteText"/>
      </w:pPr>
      <w:r>
        <w:rPr>
          <w:rStyle w:val="FootnoteReference"/>
        </w:rPr>
        <w:footnoteRef/>
      </w:r>
      <w:r>
        <w:t xml:space="preserve"> </w:t>
      </w:r>
      <w:r>
        <w:t xml:space="preserve">Health Service Executive,</w:t>
      </w:r>
      <w:r>
        <w:t xml:space="preserve"> </w:t>
      </w:r>
      <w:r>
        <w:t xml:space="preserve">“</w:t>
      </w:r>
      <w:r>
        <w:t xml:space="preserve">National Quality and Patient Safety,</w:t>
      </w:r>
      <w:r>
        <w:t xml:space="preserve">”</w:t>
      </w:r>
      <w:r>
        <w:t xml:space="preserve"> </w:t>
      </w:r>
      <w:r>
        <w:t xml:space="preserve">current page accessed 12 September 2026, https://www2.healthservice.hse.ie/organisation/nqpsd/.</w:t>
      </w:r>
    </w:p>
  </w:footnote>
  <w:footnote w:id="24">
    <w:p>
      <w:pPr>
        <w:pStyle w:val="FootnoteText"/>
      </w:pPr>
      <w:r>
        <w:rPr>
          <w:rStyle w:val="FootnoteReference"/>
        </w:rPr>
        <w:footnoteRef/>
      </w:r>
      <w:r>
        <w:t xml:space="preserve"> </w:t>
      </w:r>
      <w:r>
        <w:t xml:space="preserve">Medical Council of Ireland,</w:t>
      </w:r>
      <w:r>
        <w:t xml:space="preserve"> </w:t>
      </w:r>
      <w:r>
        <w:t xml:space="preserve">“</w:t>
      </w:r>
      <w:r>
        <w:t xml:space="preserve">Complaints and Investigations Overview,</w:t>
      </w:r>
      <w:r>
        <w:t xml:space="preserve">”</w:t>
      </w:r>
      <w:r>
        <w:t xml:space="preserve"> </w:t>
      </w:r>
      <w:r>
        <w:t xml:space="preserve">current page accessed 12 September 2026, https://medicalcouncil.ie/complaints/complaints-overview/making-a-complaint.html.</w:t>
      </w:r>
    </w:p>
  </w:footnote>
  <w:footnote w:id="25">
    <w:p>
      <w:pPr>
        <w:pStyle w:val="FootnoteText"/>
      </w:pPr>
      <w:r>
        <w:rPr>
          <w:rStyle w:val="FootnoteReference"/>
        </w:rPr>
        <w:footnoteRef/>
      </w:r>
      <w:r>
        <w:t xml:space="preserve"> </w:t>
      </w:r>
      <w:r>
        <w:t xml:space="preserve">Data Protection Commission,</w:t>
      </w:r>
      <w:r>
        <w:t xml:space="preserve"> </w:t>
      </w:r>
      <w:r>
        <w:t xml:space="preserve">“</w:t>
      </w:r>
      <w:r>
        <w:t xml:space="preserve">Can I Use the GDPR to have my medical records amended or erased?</w:t>
      </w:r>
      <w:r>
        <w:t xml:space="preserve">”</w:t>
      </w:r>
      <w:r>
        <w:t xml:space="preserve">, current page accessed 12 September 2026, https://www.dataprotection.ie/en/can-i-use-gdpr-have-my-medical-records-amended-or-erased.</w:t>
      </w:r>
    </w:p>
  </w:footnote>
  <w:footnote w:id="26">
    <w:p>
      <w:pPr>
        <w:pStyle w:val="FootnoteText"/>
      </w:pPr>
      <w:r>
        <w:rPr>
          <w:rStyle w:val="FootnoteReference"/>
        </w:rPr>
        <w:footnoteRef/>
      </w:r>
      <w:r>
        <w:t xml:space="preserve"> </w:t>
      </w:r>
      <w:r>
        <w:t xml:space="preserve">Health Information and Quality Authority,</w:t>
      </w:r>
      <w:r>
        <w:t xml:space="preserve"> </w:t>
      </w:r>
      <w:r>
        <w:t xml:space="preserve">“</w:t>
      </w:r>
      <w:r>
        <w:t xml:space="preserve">Report a Concern or Give Feedback,</w:t>
      </w:r>
      <w:r>
        <w:t xml:space="preserve">”</w:t>
      </w:r>
      <w:r>
        <w:t xml:space="preserve"> </w:t>
      </w:r>
      <w:r>
        <w:t xml:space="preserve">current page accessed 12 September 2026, https://www.hiqa.ie/get-touch/report-concern-or-give-feedback.</w:t>
      </w:r>
    </w:p>
  </w:footnote>
  <w:footnote w:id="27">
    <w:p>
      <w:pPr>
        <w:pStyle w:val="FootnoteText"/>
      </w:pPr>
      <w:r>
        <w:rPr>
          <w:rStyle w:val="FootnoteReference"/>
        </w:rPr>
        <w:footnoteRef/>
      </w:r>
      <w:r>
        <w:t xml:space="preserve"> </w:t>
      </w:r>
      <w:r>
        <w:t xml:space="preserve">Office of the Ombudsman,</w:t>
      </w:r>
      <w:r>
        <w:t xml:space="preserve"> </w:t>
      </w:r>
      <w:r>
        <w:t xml:space="preserve">“</w:t>
      </w:r>
      <w:r>
        <w:t xml:space="preserve">What we can investigate,</w:t>
      </w:r>
      <w:r>
        <w:t xml:space="preserve">”</w:t>
      </w:r>
      <w:r>
        <w:t xml:space="preserve"> </w:t>
      </w:r>
      <w:r>
        <w:t xml:space="preserve">updated 19 September 2024, https://www.ombudsman.ie/en/publication/22bcc-what-we-can-investigate/.</w:t>
      </w:r>
    </w:p>
  </w:footnote>
  <w:footnote w:id="28">
    <w:p>
      <w:pPr>
        <w:pStyle w:val="FootnoteText"/>
      </w:pPr>
      <w:r>
        <w:rPr>
          <w:rStyle w:val="FootnoteReference"/>
        </w:rPr>
        <w:footnoteRef/>
      </w:r>
      <w:r>
        <w:t xml:space="preserve"> </w:t>
      </w:r>
      <w:r>
        <w:t xml:space="preserve">Patient Advocacy Service,</w:t>
      </w:r>
      <w:r>
        <w:t xml:space="preserve"> </w:t>
      </w:r>
      <w:r>
        <w:t xml:space="preserve">“</w:t>
      </w:r>
      <w:r>
        <w:t xml:space="preserve">Overview and remit,</w:t>
      </w:r>
      <w:r>
        <w:t xml:space="preserve">”</w:t>
      </w:r>
      <w:r>
        <w:t xml:space="preserve"> </w:t>
      </w:r>
      <w:r>
        <w:t xml:space="preserve">current page accessed 12 September 2026, https://www.patientadvocacyservice.ie/about-us/overview-and-remit/.</w:t>
      </w:r>
    </w:p>
  </w:footnote>
  <w:footnote w:id="30">
    <w:p>
      <w:pPr>
        <w:pStyle w:val="FootnoteText"/>
      </w:pPr>
      <w:r>
        <w:rPr>
          <w:rStyle w:val="FootnoteReference"/>
        </w:rPr>
        <w:footnoteRef/>
      </w:r>
      <w:r>
        <w:t xml:space="preserve"> </w:t>
      </w:r>
      <w:r>
        <w:t xml:space="preserve">HIQA,</w:t>
      </w:r>
      <w:r>
        <w:t xml:space="preserve"> </w:t>
      </w:r>
      <w:r>
        <w:t xml:space="preserve">“</w:t>
      </w:r>
      <w:r>
        <w:t xml:space="preserve">National Standards for Information Management in Health and Social Care,</w:t>
      </w:r>
      <w:r>
        <w:t xml:space="preserve">”</w:t>
      </w:r>
      <w:r>
        <w:t xml:space="preserve"> </w:t>
      </w:r>
      <w:r>
        <w:t xml:space="preserve">published 27 June 2024, https://www.hiqa.ie/sites/default/files/2024-06/National-Standards-for-Information-Management-2024.pdf.</w:t>
      </w:r>
    </w:p>
  </w:footnote>
  <w:footnote w:id="31">
    <w:p>
      <w:pPr>
        <w:pStyle w:val="FootnoteText"/>
      </w:pPr>
      <w:r>
        <w:rPr>
          <w:rStyle w:val="FootnoteReference"/>
        </w:rPr>
        <w:footnoteRef/>
      </w:r>
      <w:r>
        <w:t xml:space="preserve"> </w:t>
      </w:r>
      <w:r>
        <w:t xml:space="preserve">Health Service Executive,</w:t>
      </w:r>
      <w:r>
        <w:t xml:space="preserve"> </w:t>
      </w:r>
      <w:r>
        <w:t xml:space="preserve">“</w:t>
      </w:r>
      <w:r>
        <w:t xml:space="preserve">Open Disclosure</w:t>
      </w:r>
      <w:r>
        <w:t xml:space="preserve">”</w:t>
      </w:r>
      <w:r>
        <w:t xml:space="preserve"> </w:t>
      </w:r>
      <w:r>
        <w:t xml:space="preserve">and</w:t>
      </w:r>
      <w:r>
        <w:t xml:space="preserve"> </w:t>
      </w:r>
      <w:r>
        <w:t xml:space="preserve">“</w:t>
      </w:r>
      <w:r>
        <w:t xml:space="preserve">HSE Open Disclosure Policy 2025,</w:t>
      </w:r>
      <w:r>
        <w:t xml:space="preserve">”</w:t>
      </w:r>
      <w:r>
        <w:t xml:space="preserve"> </w:t>
      </w:r>
      <w:r>
        <w:t xml:space="preserve">current pages accessed 12 September 2026, https://www2.healthservice.hse.ie/organisation/qps-incident-management/open-disclosure/ and https://www2.healthservice.hse.ie/organisation/nqpsd/featured-articles/hse-open-disclosure-policy-2025/.</w:t>
      </w:r>
    </w:p>
  </w:footnote>
  <w:footnote w:id="32">
    <w:p>
      <w:pPr>
        <w:pStyle w:val="FootnoteText"/>
      </w:pPr>
      <w:r>
        <w:rPr>
          <w:rStyle w:val="FootnoteReference"/>
        </w:rPr>
        <w:footnoteRef/>
      </w:r>
      <w:r>
        <w:t xml:space="preserve"> </w:t>
      </w:r>
      <w:r>
        <w:t xml:space="preserve">Medical Protection Society,</w:t>
      </w:r>
      <w:r>
        <w:t xml:space="preserve"> </w:t>
      </w:r>
      <w:r>
        <w:t xml:space="preserve">“</w:t>
      </w:r>
      <w:r>
        <w:t xml:space="preserve">Medical records,</w:t>
      </w:r>
      <w:r>
        <w:t xml:space="preserve">”</w:t>
      </w:r>
      <w:r>
        <w:t xml:space="preserve"> </w:t>
      </w:r>
      <w:r>
        <w:t xml:space="preserve">quoting paragraphs 33.1–33.5 of the Medical Council of Ireland,</w:t>
      </w:r>
      <w:r>
        <w:t xml:space="preserve"> </w:t>
      </w:r>
      <w:r>
        <w:rPr>
          <w:i/>
          <w:iCs/>
        </w:rPr>
        <w:t xml:space="preserve">Guide to Professional Conduct and Ethics for Registered Medical Practitioners</w:t>
      </w:r>
      <w:r>
        <w:t xml:space="preserve">, 8th ed. (2016), https://www.medicalprotection.org/ireland/resources-training/factsheets/roi-medical-records. For historical disciplinary analysis the original contemporaneous Medical Council text should be obtained and authenticated; this secondary reproduction is used here because the legacy official PDF is not reliably served by the current Council site.</w:t>
      </w:r>
    </w:p>
  </w:footnote>
  <w:footnote w:id="33">
    <w:p>
      <w:pPr>
        <w:pStyle w:val="FootnoteText"/>
      </w:pPr>
      <w:r>
        <w:rPr>
          <w:rStyle w:val="FootnoteReference"/>
        </w:rPr>
        <w:footnoteRef/>
      </w:r>
      <w:r>
        <w:t xml:space="preserve"> </w:t>
      </w:r>
      <w:r>
        <w:t xml:space="preserve">Ruey-Meei Wu et al.,</w:t>
      </w:r>
      <w:r>
        <w:t xml:space="preserve"> </w:t>
      </w:r>
      <w:r>
        <w:t xml:space="preserve">“</w:t>
      </w:r>
      <w:r>
        <w:t xml:space="preserve">Parkin Mutations and Early-Onset Parkinsonism in a Taiwanese Cohort,</w:t>
      </w:r>
      <w:r>
        <w:t xml:space="preserve">”</w:t>
      </w:r>
      <w:r>
        <w:t xml:space="preserve"> </w:t>
      </w:r>
      <w:r>
        <w:rPr>
          <w:i/>
          <w:iCs/>
        </w:rPr>
        <w:t xml:space="preserve">Archives of Neurology</w:t>
      </w:r>
      <w:r>
        <w:t xml:space="preserve"> </w:t>
      </w:r>
      <w:r>
        <w:t xml:space="preserve">62(1) (2005): 82–87, PubMed PMID 15642853, https://pubmed.ncbi.nlm.nih.gov/15642853/ (describing classic parkin-proven juvenile parkinsonism with symmetrical foot dystonia at onset and gait disturbance).</w:t>
      </w:r>
    </w:p>
  </w:footnote>
  <w:footnote w:id="34">
    <w:p>
      <w:pPr>
        <w:pStyle w:val="FootnoteText"/>
      </w:pPr>
      <w:r>
        <w:rPr>
          <w:rStyle w:val="FootnoteReference"/>
        </w:rPr>
        <w:footnoteRef/>
      </w:r>
      <w:r>
        <w:t xml:space="preserve"> </w:t>
      </w:r>
      <w:r>
        <w:t xml:space="preserve">Anna Castagna et al.,</w:t>
      </w:r>
      <w:r>
        <w:t xml:space="preserve"> </w:t>
      </w:r>
      <w:r>
        <w:t xml:space="preserve">“</w:t>
      </w:r>
      <w:r>
        <w:t xml:space="preserve">Quantitative Gait Analysis in Parkin Disease: Possible Role of Dystonia,</w:t>
      </w:r>
      <w:r>
        <w:t xml:space="preserve">”</w:t>
      </w:r>
      <w:r>
        <w:t xml:space="preserve"> </w:t>
      </w:r>
      <w:r>
        <w:rPr>
          <w:i/>
          <w:iCs/>
        </w:rPr>
        <w:t xml:space="preserve">Movement Disorders</w:t>
      </w:r>
      <w:r>
        <w:t xml:space="preserve"> </w:t>
      </w:r>
      <w:r>
        <w:t xml:space="preserve">31(11) (2016): 1720–1728, https://pubmed.ncbi.nlm.nih.gov/27383763/.</w:t>
      </w:r>
    </w:p>
  </w:footnote>
  <w:footnote w:id="38">
    <w:p>
      <w:pPr>
        <w:pStyle w:val="FootnoteText"/>
      </w:pPr>
      <w:r>
        <w:rPr>
          <w:rStyle w:val="FootnoteReference"/>
        </w:rPr>
        <w:footnoteRef/>
      </w:r>
      <w:r>
        <w:t xml:space="preserve"> </w:t>
      </w:r>
      <w:r>
        <w:t xml:space="preserve">World Medical Association,</w:t>
      </w:r>
      <w:r>
        <w:t xml:space="preserve"> </w:t>
      </w:r>
      <w:r>
        <w:rPr>
          <w:i/>
          <w:iCs/>
        </w:rPr>
        <w:t xml:space="preserve">International Code of Medical Ethics</w:t>
      </w:r>
      <w:r>
        <w:t xml:space="preserve"> </w:t>
      </w:r>
      <w:r>
        <w:t xml:space="preserve">(2022), paragraph 21 (</w:t>
      </w:r>
      <w:r>
        <w:t xml:space="preserve">“</w:t>
      </w:r>
      <w:r>
        <w:t xml:space="preserve">The physician must ensure accurate and timely medical documentation</w:t>
      </w:r>
      <w:r>
        <w:t xml:space="preserve">”</w:t>
      </w:r>
      <w:r>
        <w:t xml:space="preserve">), reproduced in the WMA Medical Ethics Manual, current WMA page accessed 12 September 2026, https://www.wma.net/hb-e-version-2024-2/.</w:t>
      </w:r>
    </w:p>
  </w:footnote>
  <w:footnote w:id="39">
    <w:p>
      <w:pPr>
        <w:pStyle w:val="FootnoteText"/>
      </w:pPr>
      <w:r>
        <w:rPr>
          <w:rStyle w:val="FootnoteReference"/>
        </w:rPr>
        <w:footnoteRef/>
      </w:r>
      <w:r>
        <w:t xml:space="preserve"> </w:t>
      </w:r>
      <w:r>
        <w:t xml:space="preserve">Medical Protection Society,</w:t>
      </w:r>
      <w:r>
        <w:t xml:space="preserve"> </w:t>
      </w:r>
      <w:r>
        <w:t xml:space="preserve">“</w:t>
      </w:r>
      <w:r>
        <w:t xml:space="preserve">Medical records,</w:t>
      </w:r>
      <w:r>
        <w:t xml:space="preserve">”</w:t>
      </w:r>
      <w:r>
        <w:t xml:space="preserve"> </w:t>
      </w:r>
      <w:r>
        <w:t xml:space="preserve">quoting paragraphs 33.1–33.5 of the Medical Council of Ireland,</w:t>
      </w:r>
      <w:r>
        <w:t xml:space="preserve"> </w:t>
      </w:r>
      <w:r>
        <w:rPr>
          <w:i/>
          <w:iCs/>
        </w:rPr>
        <w:t xml:space="preserve">Guide to Professional Conduct and Ethics for Registered Medical Practitioners</w:t>
      </w:r>
      <w:r>
        <w:t xml:space="preserve">, 8th ed. (2016), https://www.medicalprotection.org/ireland/resources-training/factsheets/roi-medical-records. For historical disciplinary analysis the original contemporaneous Medical Council text should be obtained and authenticated; this secondary reproduction is used here because the legacy official PDF is not reliably served by the current Council site.</w:t>
      </w:r>
    </w:p>
  </w:footnote>
  <w:footnote w:id="41">
    <w:p>
      <w:pPr>
        <w:pStyle w:val="FootnoteText"/>
      </w:pPr>
      <w:r>
        <w:rPr>
          <w:rStyle w:val="FootnoteReference"/>
        </w:rPr>
        <w:footnoteRef/>
      </w:r>
      <w:r>
        <w:t xml:space="preserve"> </w:t>
      </w:r>
      <w:r>
        <w:t xml:space="preserve">Havi Carel and Ian James Kidd,</w:t>
      </w:r>
      <w:r>
        <w:t xml:space="preserve"> </w:t>
      </w:r>
      <w:r>
        <w:t xml:space="preserve">“</w:t>
      </w:r>
      <w:r>
        <w:t xml:space="preserve">Epistemic Injustice in Healthcare: A Philosophical Analysis,</w:t>
      </w:r>
      <w:r>
        <w:t xml:space="preserve">”</w:t>
      </w:r>
      <w:r>
        <w:t xml:space="preserve"> </w:t>
      </w:r>
      <w:r>
        <w:rPr>
          <w:i/>
          <w:iCs/>
        </w:rPr>
        <w:t xml:space="preserve">Medicine, Health Care and Philosophy</w:t>
      </w:r>
      <w:r>
        <w:t xml:space="preserve"> </w:t>
      </w:r>
      <w:r>
        <w:t xml:space="preserve">17(4) (2014): 529–540, https://pubmed.ncbi.nlm.nih.gov/24740808/.</w:t>
      </w:r>
    </w:p>
  </w:footnote>
  <w:footnote w:id="44">
    <w:p>
      <w:pPr>
        <w:pStyle w:val="FootnoteText"/>
      </w:pPr>
      <w:r>
        <w:rPr>
          <w:rStyle w:val="FootnoteReference"/>
        </w:rPr>
        <w:footnoteRef/>
      </w:r>
      <w:r>
        <w:t xml:space="preserve"> </w:t>
      </w:r>
      <w:r>
        <w:t xml:space="preserve">World Health Organization,</w:t>
      </w:r>
      <w:r>
        <w:t xml:space="preserve"> </w:t>
      </w:r>
      <w:r>
        <w:rPr>
          <w:i/>
          <w:iCs/>
        </w:rPr>
        <w:t xml:space="preserve">Global Patient Safety Action Plan 2021–2030</w:t>
      </w:r>
      <w:r>
        <w:t xml:space="preserve">, adopted by the Seventy-Fourth World Health Assembly in 2021, https://www.who.int/publications/i/item/9789240032705.</w:t>
      </w:r>
    </w:p>
  </w:footnote>
  <w:footnote w:id="45">
    <w:p>
      <w:pPr>
        <w:pStyle w:val="FootnoteText"/>
      </w:pPr>
      <w:r>
        <w:rPr>
          <w:rStyle w:val="FootnoteReference"/>
        </w:rPr>
        <w:footnoteRef/>
      </w:r>
      <w:r>
        <w:t xml:space="preserve"> </w:t>
      </w:r>
      <w:r>
        <w:t xml:space="preserve">Health Service Executive,</w:t>
      </w:r>
      <w:r>
        <w:t xml:space="preserve"> </w:t>
      </w:r>
      <w:r>
        <w:t xml:space="preserve">“</w:t>
      </w:r>
      <w:r>
        <w:t xml:space="preserve">National Quality and Patient Safety,</w:t>
      </w:r>
      <w:r>
        <w:t xml:space="preserve">”</w:t>
      </w:r>
      <w:r>
        <w:t xml:space="preserve"> </w:t>
      </w:r>
      <w:r>
        <w:t xml:space="preserve">current page accessed 12 September 2026, https://www2.healthservice.hse.ie/organisation/nqpsd/.</w:t>
      </w:r>
    </w:p>
  </w:footnote>
  <w:footnote w:id="47">
    <w:p>
      <w:pPr>
        <w:pStyle w:val="FootnoteText"/>
      </w:pPr>
      <w:r>
        <w:rPr>
          <w:rStyle w:val="FootnoteReference"/>
        </w:rPr>
        <w:footnoteRef/>
      </w:r>
      <w:r>
        <w:t xml:space="preserve"> </w:t>
      </w:r>
      <w:r>
        <w:t xml:space="preserve">Marc Berg and Geoffrey Bowker,</w:t>
      </w:r>
      <w:r>
        <w:t xml:space="preserve"> </w:t>
      </w:r>
      <w:r>
        <w:t xml:space="preserve">“</w:t>
      </w:r>
      <w:r>
        <w:t xml:space="preserve">The Multiple Bodies of the Medical Record: Toward a Sociology of an Artifact,</w:t>
      </w:r>
      <w:r>
        <w:t xml:space="preserve">”</w:t>
      </w:r>
      <w:r>
        <w:t xml:space="preserve"> </w:t>
      </w:r>
      <w:r>
        <w:rPr>
          <w:i/>
          <w:iCs/>
        </w:rPr>
        <w:t xml:space="preserve">The Sociological Quarterly</w:t>
      </w:r>
      <w:r>
        <w:t xml:space="preserve"> </w:t>
      </w:r>
      <w:r>
        <w:t xml:space="preserve">38(3) (1997): 513–537, https://doi.org/10.1111/j.1533-8525.1997.tb00490.x. The paper argues that records do not merely represent a patient’s history but participate in the production and coordination of clinical knowledge.</w:t>
      </w:r>
    </w:p>
  </w:footnote>
  <w:footnote w:id="55">
    <w:p>
      <w:pPr>
        <w:pStyle w:val="FootnoteText"/>
      </w:pPr>
      <w:r>
        <w:rPr>
          <w:rStyle w:val="FootnoteReference"/>
        </w:rPr>
        <w:footnoteRef/>
      </w:r>
      <w:r>
        <w:t xml:space="preserve"> </w:t>
      </w:r>
      <w:r>
        <w:t xml:space="preserve">Anna P. Goddu et al.,</w:t>
      </w:r>
      <w:r>
        <w:t xml:space="preserve"> </w:t>
      </w:r>
      <w:r>
        <w:t xml:space="preserve">“</w:t>
      </w:r>
      <w:r>
        <w:t xml:space="preserve">Do Words Matter? Stigmatizing Language and the Transmission of Bias in the Medical Record,</w:t>
      </w:r>
      <w:r>
        <w:t xml:space="preserve">”</w:t>
      </w:r>
      <w:r>
        <w:t xml:space="preserve"> </w:t>
      </w:r>
      <w:r>
        <w:rPr>
          <w:i/>
          <w:iCs/>
        </w:rPr>
        <w:t xml:space="preserve">Journal of General Internal Medicine</w:t>
      </w:r>
      <w:r>
        <w:t xml:space="preserve"> </w:t>
      </w:r>
      <w:r>
        <w:t xml:space="preserve">33 (2018): 685–691, https://pmc.ncbi.nlm.nih.gov/articles/PMC5910343/. In a randomized vignette study, stigmatizing note language changed trainees’ attitudes and pain-management choices despite medically equivalent information.</w:t>
      </w:r>
    </w:p>
  </w:footnote>
  <w:footnote w:id="56">
    <w:p>
      <w:pPr>
        <w:pStyle w:val="FootnoteText"/>
      </w:pPr>
      <w:r>
        <w:rPr>
          <w:rStyle w:val="FootnoteReference"/>
        </w:rPr>
        <w:footnoteRef/>
      </w:r>
      <w:r>
        <w:t xml:space="preserve"> </w:t>
      </w:r>
      <w:r>
        <w:t xml:space="preserve">Amy Y. Tsou et al.,</w:t>
      </w:r>
      <w:r>
        <w:t xml:space="preserve"> </w:t>
      </w:r>
      <w:r>
        <w:t xml:space="preserve">“</w:t>
      </w:r>
      <w:r>
        <w:t xml:space="preserve">Safe Practices for Copy and Paste in the EHR: Systematic Review, Recommendations, and Novel Model for Health IT Collaboration,</w:t>
      </w:r>
      <w:r>
        <w:t xml:space="preserve">”</w:t>
      </w:r>
      <w:r>
        <w:t xml:space="preserve"> </w:t>
      </w:r>
      <w:r>
        <w:rPr>
          <w:i/>
          <w:iCs/>
        </w:rPr>
        <w:t xml:space="preserve">Applied Clinical Informatics</w:t>
      </w:r>
      <w:r>
        <w:t xml:space="preserve"> </w:t>
      </w:r>
      <w:r>
        <w:t xml:space="preserve">8(1) (2017): 12–34, https://pubmed.ncbi.nlm.nih.gov/28074211/.</w:t>
      </w:r>
    </w:p>
  </w:footnote>
  <w:footnote w:id="57">
    <w:p>
      <w:pPr>
        <w:pStyle w:val="FootnoteText"/>
      </w:pPr>
      <w:r>
        <w:rPr>
          <w:rStyle w:val="FootnoteReference"/>
        </w:rPr>
        <w:footnoteRef/>
      </w:r>
      <w:r>
        <w:t xml:space="preserve"> </w:t>
      </w:r>
      <w:r>
        <w:t xml:space="preserve">Marc Berg and Geoffrey Bowker,</w:t>
      </w:r>
      <w:r>
        <w:t xml:space="preserve"> </w:t>
      </w:r>
      <w:r>
        <w:t xml:space="preserve">“</w:t>
      </w:r>
      <w:r>
        <w:t xml:space="preserve">The Multiple Bodies of the Medical Record: Toward a Sociology of an Artifact,</w:t>
      </w:r>
      <w:r>
        <w:t xml:space="preserve">”</w:t>
      </w:r>
      <w:r>
        <w:t xml:space="preserve"> </w:t>
      </w:r>
      <w:r>
        <w:rPr>
          <w:i/>
          <w:iCs/>
        </w:rPr>
        <w:t xml:space="preserve">The Sociological Quarterly</w:t>
      </w:r>
      <w:r>
        <w:t xml:space="preserve"> </w:t>
      </w:r>
      <w:r>
        <w:t xml:space="preserve">38(3) (1997): 513–537, https://doi.org/10.1111/j.1533-8525.1997.tb00490.x. The paper argues that records do not merely represent a patient’s history but participate in the production and coordination of clinical knowledge.</w:t>
      </w:r>
    </w:p>
  </w:footnote>
  <w:footnote w:id="63">
    <w:p>
      <w:pPr>
        <w:pStyle w:val="FootnoteText"/>
      </w:pPr>
      <w:r>
        <w:rPr>
          <w:rStyle w:val="FootnoteReference"/>
        </w:rPr>
        <w:footnoteRef/>
      </w:r>
      <w:r>
        <w:t xml:space="preserve"> </w:t>
      </w:r>
      <w:r>
        <w:t xml:space="preserve">Stavros Stavropoulou, Christian Doherty and Paul Tosey,</w:t>
      </w:r>
      <w:r>
        <w:t xml:space="preserve"> </w:t>
      </w:r>
      <w:r>
        <w:t xml:space="preserve">“</w:t>
      </w:r>
      <w:r>
        <w:t xml:space="preserve">How Effective Are Incident-Reporting Systems for Improving Patient Safety? A Systematic Literature Review,</w:t>
      </w:r>
      <w:r>
        <w:t xml:space="preserve">”</w:t>
      </w:r>
      <w:r>
        <w:t xml:space="preserve"> </w:t>
      </w:r>
      <w:r>
        <w:rPr>
          <w:i/>
          <w:iCs/>
        </w:rPr>
        <w:t xml:space="preserve">Milbank Quarterly</w:t>
      </w:r>
      <w:r>
        <w:t xml:space="preserve"> </w:t>
      </w:r>
      <w:r>
        <w:t xml:space="preserve">93(4) (2015): 826–866, https://pmc.ncbi.nlm.nih.gov/articles/PMC4678941/.</w:t>
      </w:r>
    </w:p>
  </w:footnote>
  <w:footnote w:id="70">
    <w:p>
      <w:pPr>
        <w:pStyle w:val="FootnoteText"/>
      </w:pPr>
      <w:r>
        <w:rPr>
          <w:rStyle w:val="FootnoteReference"/>
        </w:rPr>
        <w:footnoteRef/>
      </w:r>
      <w:r>
        <w:t xml:space="preserve"> </w:t>
      </w:r>
      <w:r>
        <w:t xml:space="preserve">Health Service Executive,</w:t>
      </w:r>
      <w:r>
        <w:t xml:space="preserve"> </w:t>
      </w:r>
      <w:r>
        <w:t xml:space="preserve">“</w:t>
      </w:r>
      <w:r>
        <w:t xml:space="preserve">HSE health regions</w:t>
      </w:r>
      <w:r>
        <w:t xml:space="preserve">”</w:t>
      </w:r>
      <w:r>
        <w:t xml:space="preserve"> </w:t>
      </w:r>
      <w:r>
        <w:t xml:space="preserve">and staff information on Integrated Healthcare Areas, current pages accessed 12 September 2026, https://about.hse.ie/leadership-and-operations/hse-health-regions/ and https://healthservice.hse.ie/staff/health-regions-information-resources/.</w:t>
      </w:r>
    </w:p>
  </w:footnote>
  <w:footnote w:id="72">
    <w:p>
      <w:pPr>
        <w:pStyle w:val="FootnoteText"/>
      </w:pPr>
      <w:r>
        <w:rPr>
          <w:rStyle w:val="FootnoteReference"/>
        </w:rPr>
        <w:footnoteRef/>
      </w:r>
      <w:r>
        <w:t xml:space="preserve"> </w:t>
      </w:r>
      <w:r>
        <w:t xml:space="preserve">Health Service Executive,</w:t>
      </w:r>
      <w:r>
        <w:t xml:space="preserve"> </w:t>
      </w:r>
      <w:r>
        <w:t xml:space="preserve">“</w:t>
      </w:r>
      <w:r>
        <w:t xml:space="preserve">HSE health regions</w:t>
      </w:r>
      <w:r>
        <w:t xml:space="preserve">”</w:t>
      </w:r>
      <w:r>
        <w:t xml:space="preserve"> </w:t>
      </w:r>
      <w:r>
        <w:t xml:space="preserve">and staff information on Integrated Healthcare Areas, current pages accessed 12 September 2026, https://about.hse.ie/leadership-and-operations/hse-health-regions/ and https://healthservice.hse.ie/staff/health-regions-information-resources/.</w:t>
      </w:r>
    </w:p>
  </w:footnote>
  <w:footnote w:id="74">
    <w:p>
      <w:pPr>
        <w:pStyle w:val="FootnoteText"/>
      </w:pPr>
      <w:r>
        <w:rPr>
          <w:rStyle w:val="FootnoteReference"/>
        </w:rPr>
        <w:footnoteRef/>
      </w:r>
      <w:r>
        <w:t xml:space="preserve"> </w:t>
      </w:r>
      <w:r>
        <w:t xml:space="preserve">Health Service Executive,</w:t>
      </w:r>
      <w:r>
        <w:t xml:space="preserve"> </w:t>
      </w:r>
      <w:r>
        <w:t xml:space="preserve">“</w:t>
      </w:r>
      <w:r>
        <w:t xml:space="preserve">National Quality and Patient Safety,</w:t>
      </w:r>
      <w:r>
        <w:t xml:space="preserve">”</w:t>
      </w:r>
      <w:r>
        <w:t xml:space="preserve"> </w:t>
      </w:r>
      <w:r>
        <w:t xml:space="preserve">current page accessed 12 September 2026, https://www2.healthservice.hse.ie/organisation/nqpsd/.</w:t>
      </w:r>
    </w:p>
  </w:footnote>
  <w:footnote w:id="75">
    <w:p>
      <w:pPr>
        <w:pStyle w:val="FootnoteText"/>
      </w:pPr>
      <w:r>
        <w:rPr>
          <w:rStyle w:val="FootnoteReference"/>
        </w:rPr>
        <w:footnoteRef/>
      </w:r>
      <w:r>
        <w:t xml:space="preserve"> </w:t>
      </w:r>
      <w:r>
        <w:t xml:space="preserve">Health Service Executive,</w:t>
      </w:r>
      <w:r>
        <w:t xml:space="preserve"> </w:t>
      </w:r>
      <w:r>
        <w:t xml:space="preserve">“</w:t>
      </w:r>
      <w:r>
        <w:t xml:space="preserve">QPS Incident Management,</w:t>
      </w:r>
      <w:r>
        <w:t xml:space="preserve">”</w:t>
      </w:r>
      <w:r>
        <w:t xml:space="preserve"> </w:t>
      </w:r>
      <w:r>
        <w:t xml:space="preserve">current page accessed 12 September 2026, https://www2.healthservice.hse.ie/organisation/qps-incident-management/.</w:t>
      </w:r>
    </w:p>
  </w:footnote>
  <w:footnote w:id="77">
    <w:p>
      <w:pPr>
        <w:pStyle w:val="FootnoteText"/>
      </w:pPr>
      <w:r>
        <w:rPr>
          <w:rStyle w:val="FootnoteReference"/>
        </w:rPr>
        <w:footnoteRef/>
      </w:r>
      <w:r>
        <w:t xml:space="preserve"> </w:t>
      </w:r>
      <w:r>
        <w:t xml:space="preserve">Health Service Executive,</w:t>
      </w:r>
      <w:r>
        <w:t xml:space="preserve"> </w:t>
      </w:r>
      <w:r>
        <w:t xml:space="preserve">“</w:t>
      </w:r>
      <w:r>
        <w:t xml:space="preserve">Open Disclosure</w:t>
      </w:r>
      <w:r>
        <w:t xml:space="preserve">”</w:t>
      </w:r>
      <w:r>
        <w:t xml:space="preserve"> </w:t>
      </w:r>
      <w:r>
        <w:t xml:space="preserve">and</w:t>
      </w:r>
      <w:r>
        <w:t xml:space="preserve"> </w:t>
      </w:r>
      <w:r>
        <w:t xml:space="preserve">“</w:t>
      </w:r>
      <w:r>
        <w:t xml:space="preserve">HSE Open Disclosure Policy 2025,</w:t>
      </w:r>
      <w:r>
        <w:t xml:space="preserve">”</w:t>
      </w:r>
      <w:r>
        <w:t xml:space="preserve"> </w:t>
      </w:r>
      <w:r>
        <w:t xml:space="preserve">current pages accessed 12 September 2026, https://www2.healthservice.hse.ie/organisation/qps-incident-management/open-disclosure/ and https://www2.healthservice.hse.ie/organisation/nqpsd/featured-articles/hse-open-disclosure-policy-2025/.</w:t>
      </w:r>
    </w:p>
  </w:footnote>
  <w:footnote w:id="78">
    <w:p>
      <w:pPr>
        <w:pStyle w:val="FootnoteText"/>
      </w:pPr>
      <w:r>
        <w:rPr>
          <w:rStyle w:val="FootnoteReference"/>
        </w:rPr>
        <w:footnoteRef/>
      </w:r>
      <w:r>
        <w:t xml:space="preserve"> </w:t>
      </w:r>
      <w:r>
        <w:t xml:space="preserve">Health Service Executive,</w:t>
      </w:r>
      <w:r>
        <w:t xml:space="preserve"> </w:t>
      </w:r>
      <w:r>
        <w:t xml:space="preserve">“</w:t>
      </w:r>
      <w:r>
        <w:t xml:space="preserve">Patient Safety (Notifiable Incidents and Open Disclosure) Act 2023,</w:t>
      </w:r>
      <w:r>
        <w:t xml:space="preserve">”</w:t>
      </w:r>
      <w:r>
        <w:t xml:space="preserve"> </w:t>
      </w:r>
      <w:r>
        <w:t xml:space="preserve">current page accessed 12 September 2026, https://www2.healthservice.hse.ie/organisation/qps-incident-management/open-disclosure/patient-safety-notifiable-incidents-and-open-disclosure-act-2023/.</w:t>
      </w:r>
    </w:p>
  </w:footnote>
  <w:footnote w:id="80">
    <w:p>
      <w:pPr>
        <w:pStyle w:val="FootnoteText"/>
      </w:pPr>
      <w:r>
        <w:rPr>
          <w:rStyle w:val="FootnoteReference"/>
        </w:rPr>
        <w:footnoteRef/>
      </w:r>
      <w:r>
        <w:t xml:space="preserve"> </w:t>
      </w:r>
      <w:r>
        <w:t xml:space="preserve">Medical Council of Ireland,</w:t>
      </w:r>
      <w:r>
        <w:t xml:space="preserve"> </w:t>
      </w:r>
      <w:r>
        <w:t xml:space="preserve">“</w:t>
      </w:r>
      <w:r>
        <w:t xml:space="preserve">Complaints and Investigations Overview,</w:t>
      </w:r>
      <w:r>
        <w:t xml:space="preserve">”</w:t>
      </w:r>
      <w:r>
        <w:t xml:space="preserve"> </w:t>
      </w:r>
      <w:r>
        <w:t xml:space="preserve">current page accessed 12 September 2026, https://medicalcouncil.ie/complaints/complaints-overview/making-a-complaint.html.</w:t>
      </w:r>
    </w:p>
  </w:footnote>
  <w:footnote w:id="81">
    <w:p>
      <w:pPr>
        <w:pStyle w:val="FootnoteText"/>
      </w:pPr>
      <w:r>
        <w:rPr>
          <w:rStyle w:val="FootnoteReference"/>
        </w:rPr>
        <w:footnoteRef/>
      </w:r>
      <w:r>
        <w:t xml:space="preserve"> </w:t>
      </w:r>
      <w:r>
        <w:t xml:space="preserve">Medical Council of Ireland,</w:t>
      </w:r>
      <w:r>
        <w:t xml:space="preserve"> </w:t>
      </w:r>
      <w:r>
        <w:t xml:space="preserve">“</w:t>
      </w:r>
      <w:r>
        <w:t xml:space="preserve">Complaints and Investigations Overview,</w:t>
      </w:r>
      <w:r>
        <w:t xml:space="preserve">”</w:t>
      </w:r>
      <w:r>
        <w:t xml:space="preserve"> </w:t>
      </w:r>
      <w:r>
        <w:t xml:space="preserve">current page accessed 12 September 2026, https://medicalcouncil.ie/complaints/complaints-overview/making-a-complaint.html.</w:t>
      </w:r>
    </w:p>
  </w:footnote>
  <w:footnote w:id="82">
    <w:p>
      <w:pPr>
        <w:pStyle w:val="FootnoteText"/>
      </w:pPr>
      <w:r>
        <w:rPr>
          <w:rStyle w:val="FootnoteReference"/>
        </w:rPr>
        <w:footnoteRef/>
      </w:r>
      <w:r>
        <w:t xml:space="preserve"> </w:t>
      </w:r>
      <w:r>
        <w:t xml:space="preserve">Medical Council of Ireland,</w:t>
      </w:r>
      <w:r>
        <w:t xml:space="preserve"> </w:t>
      </w:r>
      <w:r>
        <w:t xml:space="preserve">“</w:t>
      </w:r>
      <w:r>
        <w:t xml:space="preserve">Regulated Professions Act 2020 — Information for complaints made or received on or after 6 May 2025,</w:t>
      </w:r>
      <w:r>
        <w:t xml:space="preserve">”</w:t>
      </w:r>
      <w:r>
        <w:t xml:space="preserve"> </w:t>
      </w:r>
      <w:r>
        <w:t xml:space="preserve">current page accessed 12 September 2026, https://medicalcouncil.ie/complaints/making-a-complaint/regulated-professions-act-2020.html.</w:t>
      </w:r>
    </w:p>
  </w:footnote>
  <w:footnote w:id="83">
    <w:p>
      <w:pPr>
        <w:pStyle w:val="FootnoteText"/>
      </w:pPr>
      <w:r>
        <w:rPr>
          <w:rStyle w:val="FootnoteReference"/>
        </w:rPr>
        <w:footnoteRef/>
      </w:r>
      <w:r>
        <w:t xml:space="preserve"> </w:t>
      </w:r>
      <w:r>
        <w:t xml:space="preserve">Medical Council of Ireland,</w:t>
      </w:r>
      <w:r>
        <w:t xml:space="preserve"> </w:t>
      </w:r>
      <w:r>
        <w:t xml:space="preserve">“</w:t>
      </w:r>
      <w:r>
        <w:t xml:space="preserve">Complaints and Investigations Overview,</w:t>
      </w:r>
      <w:r>
        <w:t xml:space="preserve">”</w:t>
      </w:r>
      <w:r>
        <w:t xml:space="preserve"> </w:t>
      </w:r>
      <w:r>
        <w:t xml:space="preserve">current page accessed 12 September 2026, https://medicalcouncil.ie/complaints/complaints-overview/making-a-complaint.html.</w:t>
      </w:r>
    </w:p>
  </w:footnote>
  <w:footnote w:id="85">
    <w:p>
      <w:pPr>
        <w:pStyle w:val="FootnoteText"/>
      </w:pPr>
      <w:r>
        <w:rPr>
          <w:rStyle w:val="FootnoteReference"/>
        </w:rPr>
        <w:footnoteRef/>
      </w:r>
      <w:r>
        <w:t xml:space="preserve"> </w:t>
      </w:r>
      <w:r>
        <w:t xml:space="preserve">Health Information and Quality Authority,</w:t>
      </w:r>
      <w:r>
        <w:t xml:space="preserve"> </w:t>
      </w:r>
      <w:r>
        <w:t xml:space="preserve">“</w:t>
      </w:r>
      <w:r>
        <w:t xml:space="preserve">Report a Concern or Give Feedback,</w:t>
      </w:r>
      <w:r>
        <w:t xml:space="preserve">”</w:t>
      </w:r>
      <w:r>
        <w:t xml:space="preserve"> </w:t>
      </w:r>
      <w:r>
        <w:t xml:space="preserve">current page accessed 12 September 2026, https://www.hiqa.ie/get-touch/report-concern-or-give-feedback.</w:t>
      </w:r>
    </w:p>
  </w:footnote>
  <w:footnote w:id="86">
    <w:p>
      <w:pPr>
        <w:pStyle w:val="FootnoteText"/>
      </w:pPr>
      <w:r>
        <w:rPr>
          <w:rStyle w:val="FootnoteReference"/>
        </w:rPr>
        <w:footnoteRef/>
      </w:r>
      <w:r>
        <w:t xml:space="preserve"> </w:t>
      </w:r>
      <w:r>
        <w:t xml:space="preserve">HIQA,</w:t>
      </w:r>
      <w:r>
        <w:t xml:space="preserve"> </w:t>
      </w:r>
      <w:r>
        <w:t xml:space="preserve">“</w:t>
      </w:r>
      <w:r>
        <w:t xml:space="preserve">National Standards for Information Management in Health and Social Care,</w:t>
      </w:r>
      <w:r>
        <w:t xml:space="preserve">”</w:t>
      </w:r>
      <w:r>
        <w:t xml:space="preserve"> </w:t>
      </w:r>
      <w:r>
        <w:t xml:space="preserve">published 27 June 2024, https://www.hiqa.ie/sites/default/files/2024-06/National-Standards-for-Information-Management-2024.pdf.</w:t>
      </w:r>
    </w:p>
  </w:footnote>
  <w:footnote w:id="87">
    <w:p>
      <w:pPr>
        <w:pStyle w:val="FootnoteText"/>
      </w:pPr>
      <w:r>
        <w:rPr>
          <w:rStyle w:val="FootnoteReference"/>
        </w:rPr>
        <w:footnoteRef/>
      </w:r>
      <w:r>
        <w:t xml:space="preserve"> </w:t>
      </w:r>
      <w:r>
        <w:t xml:space="preserve">HIQA,</w:t>
      </w:r>
      <w:r>
        <w:t xml:space="preserve"> </w:t>
      </w:r>
      <w:r>
        <w:rPr>
          <w:i/>
          <w:iCs/>
        </w:rPr>
        <w:t xml:space="preserve">Draft National Standard for Hospital Discharge Information</w:t>
      </w:r>
      <w:r>
        <w:t xml:space="preserve">, consultation document, September 2025, https://www.hiqa.ie/sites/default/files/2025-09/Draft-National-Standard-for-Hospital-Discharge-Information.pdf. This review found the consultation draft; any later final standard should supersede this citation in the repository standards watch.</w:t>
      </w:r>
    </w:p>
  </w:footnote>
  <w:footnote w:id="89">
    <w:p>
      <w:pPr>
        <w:pStyle w:val="FootnoteText"/>
      </w:pPr>
      <w:r>
        <w:rPr>
          <w:rStyle w:val="FootnoteReference"/>
        </w:rPr>
        <w:footnoteRef/>
      </w:r>
      <w:r>
        <w:t xml:space="preserve"> </w:t>
      </w:r>
      <w:r>
        <w:t xml:space="preserve">Office of the Ombudsman,</w:t>
      </w:r>
      <w:r>
        <w:t xml:space="preserve"> </w:t>
      </w:r>
      <w:r>
        <w:t xml:space="preserve">“</w:t>
      </w:r>
      <w:r>
        <w:t xml:space="preserve">What we can investigate,</w:t>
      </w:r>
      <w:r>
        <w:t xml:space="preserve">”</w:t>
      </w:r>
      <w:r>
        <w:t xml:space="preserve"> </w:t>
      </w:r>
      <w:r>
        <w:t xml:space="preserve">updated 19 September 2024, https://www.ombudsman.ie/en/publication/22bcc-what-we-can-investigate/.</w:t>
      </w:r>
    </w:p>
  </w:footnote>
  <w:footnote w:id="90">
    <w:p>
      <w:pPr>
        <w:pStyle w:val="FootnoteText"/>
      </w:pPr>
      <w:r>
        <w:rPr>
          <w:rStyle w:val="FootnoteReference"/>
        </w:rPr>
        <w:footnoteRef/>
      </w:r>
      <w:r>
        <w:t xml:space="preserve"> </w:t>
      </w:r>
      <w:r>
        <w:t xml:space="preserve">Office of the Ombudsman,</w:t>
      </w:r>
      <w:r>
        <w:t xml:space="preserve"> </w:t>
      </w:r>
      <w:r>
        <w:t xml:space="preserve">“</w:t>
      </w:r>
      <w:r>
        <w:t xml:space="preserve">Care and treatment of a patient and his family,</w:t>
      </w:r>
      <w:r>
        <w:t xml:space="preserve">”</w:t>
      </w:r>
      <w:r>
        <w:t xml:space="preserve"> </w:t>
      </w:r>
      <w:r>
        <w:t xml:space="preserve">investigation illustrating the distinction between excluded clinical judgment and examinable administrative actions, https://www.ombudsman.ie/en/publication/8cdf7-care-and-treatment-of-a-patient-and-his-family/.</w:t>
      </w:r>
    </w:p>
  </w:footnote>
  <w:footnote w:id="92">
    <w:p>
      <w:pPr>
        <w:pStyle w:val="FootnoteText"/>
      </w:pPr>
      <w:r>
        <w:rPr>
          <w:rStyle w:val="FootnoteReference"/>
        </w:rPr>
        <w:footnoteRef/>
      </w:r>
      <w:r>
        <w:t xml:space="preserve"> </w:t>
      </w:r>
      <w:r>
        <w:t xml:space="preserve">Data Protection Commission,</w:t>
      </w:r>
      <w:r>
        <w:t xml:space="preserve"> </w:t>
      </w:r>
      <w:r>
        <w:t xml:space="preserve">“</w:t>
      </w:r>
      <w:r>
        <w:t xml:space="preserve">Can I Use the GDPR to have my medical records amended or erased?</w:t>
      </w:r>
      <w:r>
        <w:t xml:space="preserve">”</w:t>
      </w:r>
      <w:r>
        <w:t xml:space="preserve">, current page accessed 12 September 2026, https://www.dataprotection.ie/en/can-i-use-gdpr-have-my-medical-records-amended-or-erased.</w:t>
      </w:r>
    </w:p>
  </w:footnote>
  <w:footnote w:id="93">
    <w:p>
      <w:pPr>
        <w:pStyle w:val="FootnoteText"/>
      </w:pPr>
      <w:r>
        <w:rPr>
          <w:rStyle w:val="FootnoteReference"/>
        </w:rPr>
        <w:footnoteRef/>
      </w:r>
      <w:r>
        <w:t xml:space="preserve"> </w:t>
      </w:r>
      <w:r>
        <w:t xml:space="preserve">Data Protection Commission,</w:t>
      </w:r>
      <w:r>
        <w:t xml:space="preserve"> </w:t>
      </w:r>
      <w:r>
        <w:t xml:space="preserve">“</w:t>
      </w:r>
      <w:r>
        <w:t xml:space="preserve">Can I Use the GDPR to have my medical records amended or erased?</w:t>
      </w:r>
      <w:r>
        <w:t xml:space="preserve">”</w:t>
      </w:r>
      <w:r>
        <w:t xml:space="preserve">, current page accessed 12 September 2026, https://www.dataprotection.ie/en/can-i-use-gdpr-have-my-medical-records-amended-or-erased.</w:t>
      </w:r>
    </w:p>
  </w:footnote>
  <w:footnote w:id="95">
    <w:p>
      <w:pPr>
        <w:pStyle w:val="FootnoteText"/>
      </w:pPr>
      <w:r>
        <w:rPr>
          <w:rStyle w:val="FootnoteReference"/>
        </w:rPr>
        <w:footnoteRef/>
      </w:r>
      <w:r>
        <w:t xml:space="preserve"> </w:t>
      </w:r>
      <w:r>
        <w:t xml:space="preserve">Patient Advocacy Service,</w:t>
      </w:r>
      <w:r>
        <w:t xml:space="preserve"> </w:t>
      </w:r>
      <w:r>
        <w:t xml:space="preserve">“</w:t>
      </w:r>
      <w:r>
        <w:t xml:space="preserve">Overview and remit,</w:t>
      </w:r>
      <w:r>
        <w:t xml:space="preserve">”</w:t>
      </w:r>
      <w:r>
        <w:t xml:space="preserve"> </w:t>
      </w:r>
      <w:r>
        <w:t xml:space="preserve">current page accessed 12 September 2026, https://www.patientadvocacyservice.ie/about-us/overview-and-remit/.</w:t>
      </w:r>
    </w:p>
  </w:footnote>
  <w:footnote w:id="97">
    <w:p>
      <w:pPr>
        <w:pStyle w:val="FootnoteText"/>
      </w:pPr>
      <w:r>
        <w:rPr>
          <w:rStyle w:val="FootnoteReference"/>
        </w:rPr>
        <w:footnoteRef/>
      </w:r>
      <w:r>
        <w:t xml:space="preserve"> </w:t>
      </w:r>
      <w:r>
        <w:t xml:space="preserve">Department of Health,</w:t>
      </w:r>
      <w:r>
        <w:t xml:space="preserve"> </w:t>
      </w:r>
      <w:r>
        <w:t xml:space="preserve">“</w:t>
      </w:r>
      <w:r>
        <w:t xml:space="preserve">Director, National Patient Safety Office,</w:t>
      </w:r>
      <w:r>
        <w:t xml:space="preserve">”</w:t>
      </w:r>
      <w:r>
        <w:t xml:space="preserve"> </w:t>
      </w:r>
      <w:r>
        <w:t xml:space="preserve">updated 27 August 2025, https://www.gov.ie/en/department-of-health/roles/director-national-patient-safety-office/; see also the NPSO overview at https://www.gov.ie/en/department-of-health/campaigns/national-patient-safety-office/.</w:t>
      </w:r>
    </w:p>
  </w:footnote>
  <w:footnote w:id="99">
    <w:p>
      <w:pPr>
        <w:pStyle w:val="FootnoteText"/>
      </w:pPr>
      <w:r>
        <w:rPr>
          <w:rStyle w:val="FootnoteReference"/>
        </w:rPr>
        <w:footnoteRef/>
      </w:r>
      <w:r>
        <w:t xml:space="preserve"> </w:t>
      </w:r>
      <w:r>
        <w:t xml:space="preserve">Royal College of Physicians of Ireland,</w:t>
      </w:r>
      <w:r>
        <w:t xml:space="preserve"> </w:t>
      </w:r>
      <w:r>
        <w:t xml:space="preserve">“</w:t>
      </w:r>
      <w:r>
        <w:t xml:space="preserve">The new Maintenance of Professional Competence Framework</w:t>
      </w:r>
      <w:r>
        <w:t xml:space="preserve">”</w:t>
      </w:r>
      <w:r>
        <w:t xml:space="preserve"> </w:t>
      </w:r>
      <w:r>
        <w:t xml:space="preserve">and current professional-competence pages, accessed 12 September 2026, https://www.rcpi.ie/Learn-and-Develop/Lifelong-Learning/Professional-Competence/What-You-Need-to-Know-about-Professional-Competence/The-new-Maintenance-of-Professional-Competence-Framework.</w:t>
      </w:r>
    </w:p>
  </w:footnote>
  <w:footnote w:id="100">
    <w:p>
      <w:pPr>
        <w:pStyle w:val="FootnoteText"/>
      </w:pPr>
      <w:r>
        <w:rPr>
          <w:rStyle w:val="FootnoteReference"/>
        </w:rPr>
        <w:footnoteRef/>
      </w:r>
      <w:r>
        <w:t xml:space="preserve"> </w:t>
      </w:r>
      <w:r>
        <w:t xml:space="preserve">Health Service Executive,</w:t>
      </w:r>
      <w:r>
        <w:t xml:space="preserve"> </w:t>
      </w:r>
      <w:r>
        <w:t xml:space="preserve">“</w:t>
      </w:r>
      <w:r>
        <w:t xml:space="preserve">QPS Incident Management,</w:t>
      </w:r>
      <w:r>
        <w:t xml:space="preserve">”</w:t>
      </w:r>
      <w:r>
        <w:t xml:space="preserve"> </w:t>
      </w:r>
      <w:r>
        <w:t xml:space="preserve">current page accessed 12 September 2026, https://www2.healthservice.hse.ie/organisation/qps-incident-management/.</w:t>
      </w:r>
    </w:p>
  </w:footnote>
  <w:footnote w:id="103">
    <w:p>
      <w:pPr>
        <w:pStyle w:val="FootnoteText"/>
      </w:pPr>
      <w:r>
        <w:rPr>
          <w:rStyle w:val="FootnoteReference"/>
        </w:rPr>
        <w:footnoteRef/>
      </w:r>
      <w:r>
        <w:t xml:space="preserve"> </w:t>
      </w:r>
      <w:r>
        <w:t xml:space="preserve">Medical Protection Society,</w:t>
      </w:r>
      <w:r>
        <w:t xml:space="preserve"> </w:t>
      </w:r>
      <w:r>
        <w:t xml:space="preserve">“</w:t>
      </w:r>
      <w:r>
        <w:t xml:space="preserve">Medical records,</w:t>
      </w:r>
      <w:r>
        <w:t xml:space="preserve">”</w:t>
      </w:r>
      <w:r>
        <w:t xml:space="preserve"> </w:t>
      </w:r>
      <w:r>
        <w:t xml:space="preserve">quoting paragraphs 33.1–33.5 of the Medical Council of Ireland,</w:t>
      </w:r>
      <w:r>
        <w:t xml:space="preserve"> </w:t>
      </w:r>
      <w:r>
        <w:rPr>
          <w:i/>
          <w:iCs/>
        </w:rPr>
        <w:t xml:space="preserve">Guide to Professional Conduct and Ethics for Registered Medical Practitioners</w:t>
      </w:r>
      <w:r>
        <w:t xml:space="preserve">, 8th ed. (2016), https://www.medicalprotection.org/ireland/resources-training/factsheets/roi-medical-records. For historical disciplinary analysis the original contemporaneous Medical Council text should be obtained and authenticated; this secondary reproduction is used here because the legacy official PDF is not reliably served by the current Council site.</w:t>
      </w:r>
    </w:p>
  </w:footnote>
  <w:footnote w:id="106">
    <w:p>
      <w:pPr>
        <w:pStyle w:val="FootnoteText"/>
      </w:pPr>
      <w:r>
        <w:rPr>
          <w:rStyle w:val="FootnoteReference"/>
        </w:rPr>
        <w:footnoteRef/>
      </w:r>
      <w:r>
        <w:t xml:space="preserve"> </w:t>
      </w:r>
      <w:r>
        <w:t xml:space="preserve">European Data Protection Board,</w:t>
      </w:r>
      <w:r>
        <w:t xml:space="preserve"> </w:t>
      </w:r>
      <w:r>
        <w:t xml:space="preserve">“</w:t>
      </w:r>
      <w:r>
        <w:t xml:space="preserve">Contact / Frequently Asked Questions,</w:t>
      </w:r>
      <w:r>
        <w:t xml:space="preserve">”</w:t>
      </w:r>
      <w:r>
        <w:t xml:space="preserve"> </w:t>
      </w:r>
      <w:r>
        <w:t xml:space="preserve">current page accessed 12 September 2026, https://www.edpb.europa.eu/contact_en. The EDPB states that it does not handle individual complaints or investigations and has no investigative, corrective or sanctioning powers.</w:t>
      </w:r>
    </w:p>
  </w:footnote>
  <w:footnote w:id="108">
    <w:p>
      <w:pPr>
        <w:pStyle w:val="FootnoteText"/>
      </w:pPr>
      <w:r>
        <w:rPr>
          <w:rStyle w:val="FootnoteReference"/>
        </w:rPr>
        <w:footnoteRef/>
      </w:r>
      <w:r>
        <w:t xml:space="preserve"> </w:t>
      </w:r>
      <w:r>
        <w:t xml:space="preserve">Consolidated Version of the Treaty on the Functioning of the European Union, Article 168(7), preserving Member State responsibility for health-policy definition and organisation/delivery of health services and medical care, EUR-Lex, https://eur-lex.europa.eu/legal-content/EN/TXT/?uri=CELEX:12012E168.</w:t>
      </w:r>
    </w:p>
  </w:footnote>
  <w:footnote w:id="109">
    <w:p>
      <w:pPr>
        <w:pStyle w:val="FootnoteText"/>
      </w:pPr>
      <w:r>
        <w:rPr>
          <w:rStyle w:val="FootnoteReference"/>
        </w:rPr>
        <w:footnoteRef/>
      </w:r>
      <w:r>
        <w:t xml:space="preserve"> </w:t>
      </w:r>
      <w:r>
        <w:t xml:space="preserve">Regulation (EU) 2025/327 of the European Parliament and of the Council on the European Health Data Space, EUR-Lex, https://eur-lex.europa.eu/eli/reg/2025/327/oj. Implementation is staged; repository entries should track the specific dates applicable to each obligation.</w:t>
      </w:r>
    </w:p>
  </w:footnote>
  <w:footnote w:id="111">
    <w:p>
      <w:pPr>
        <w:pStyle w:val="FootnoteText"/>
      </w:pPr>
      <w:r>
        <w:rPr>
          <w:rStyle w:val="FootnoteReference"/>
        </w:rPr>
        <w:footnoteRef/>
      </w:r>
      <w:r>
        <w:t xml:space="preserve"> </w:t>
      </w:r>
      <w:r>
        <w:t xml:space="preserve">European Union Agency for Fundamental Rights, explanation of its Founding Regulation and individual-complaint limitation, https://fra.europa.eu/hr/project/2013/complaints-legal-assistance-and-rights-information-tool-you.</w:t>
      </w:r>
    </w:p>
  </w:footnote>
  <w:footnote w:id="113">
    <w:p>
      <w:pPr>
        <w:pStyle w:val="FootnoteText"/>
      </w:pPr>
      <w:r>
        <w:rPr>
          <w:rStyle w:val="FootnoteReference"/>
        </w:rPr>
        <w:footnoteRef/>
      </w:r>
      <w:r>
        <w:t xml:space="preserve"> </w:t>
      </w:r>
      <w:r>
        <w:t xml:space="preserve">Council of Europe,</w:t>
      </w:r>
      <w:r>
        <w:t xml:space="preserve"> </w:t>
      </w:r>
      <w:r>
        <w:t xml:space="preserve">“</w:t>
      </w:r>
      <w:r>
        <w:t xml:space="preserve">Steering Committee for Human Rights in the fields of Biomedicine and Health (CDBIO),</w:t>
      </w:r>
      <w:r>
        <w:t xml:space="preserve">”</w:t>
      </w:r>
      <w:r>
        <w:t xml:space="preserve"> </w:t>
      </w:r>
      <w:r>
        <w:t xml:space="preserve">current page accessed 12 September 2026, https://www.coe.int/en/web/human-rights-and-biomedicine/cdbio.</w:t>
      </w:r>
    </w:p>
  </w:footnote>
  <w:footnote w:id="114">
    <w:p>
      <w:pPr>
        <w:pStyle w:val="FootnoteText"/>
      </w:pPr>
      <w:r>
        <w:rPr>
          <w:rStyle w:val="FootnoteReference"/>
        </w:rPr>
        <w:footnoteRef/>
      </w:r>
      <w:r>
        <w:t xml:space="preserve"> </w:t>
      </w:r>
      <w:r>
        <w:t xml:space="preserve">Council of Europe Treaty Office, Convention No. 164 status/signature page, current page accessed 12 September 2026, https://www.coe.int/en/web/conventions/full-List?module=signatures-by-treaty&amp;treatynum=164. Ireland is not shown as having signed or ratified the Convention.</w:t>
      </w:r>
    </w:p>
  </w:footnote>
  <w:footnote w:id="116">
    <w:p>
      <w:pPr>
        <w:pStyle w:val="FootnoteText"/>
      </w:pPr>
      <w:r>
        <w:rPr>
          <w:rStyle w:val="FootnoteReference"/>
        </w:rPr>
        <w:footnoteRef/>
      </w:r>
      <w:r>
        <w:t xml:space="preserve"> </w:t>
      </w:r>
      <w:r>
        <w:t xml:space="preserve">European Court of Human Rights,</w:t>
      </w:r>
      <w:r>
        <w:t xml:space="preserve"> </w:t>
      </w:r>
      <w:r>
        <w:rPr>
          <w:i/>
          <w:iCs/>
        </w:rPr>
        <w:t xml:space="preserve">Practical Guide on Admissibility Criteria</w:t>
      </w:r>
      <w:r>
        <w:t xml:space="preserve">, updated 28 February 2026, official Court materials at https://www.echr.coe.int/admissibility-guide. The guide explains, among other criteria, exhaustion of domestic remedies and the four-month rule.</w:t>
      </w:r>
    </w:p>
  </w:footnote>
  <w:footnote w:id="118">
    <w:p>
      <w:pPr>
        <w:pStyle w:val="FootnoteText"/>
      </w:pPr>
      <w:r>
        <w:rPr>
          <w:rStyle w:val="FootnoteReference"/>
        </w:rPr>
        <w:footnoteRef/>
      </w:r>
      <w:r>
        <w:t xml:space="preserve"> </w:t>
      </w:r>
      <w:r>
        <w:t xml:space="preserve">European Society for Philosophy of Medicine and Health Care,</w:t>
      </w:r>
      <w:r>
        <w:t xml:space="preserve"> </w:t>
      </w:r>
      <w:r>
        <w:t xml:space="preserve">“</w:t>
      </w:r>
      <w:r>
        <w:t xml:space="preserve">About</w:t>
      </w:r>
      <w:r>
        <w:t xml:space="preserve">”</w:t>
      </w:r>
      <w:r>
        <w:t xml:space="preserve"> </w:t>
      </w:r>
      <w:r>
        <w:t xml:space="preserve">and Statutes, current pages accessed 12 September 2026, https://www.espmh.org/about/ and https://www.espmh.org/statutes/.</w:t>
      </w:r>
    </w:p>
  </w:footnote>
  <w:footnote w:id="119">
    <w:p>
      <w:pPr>
        <w:pStyle w:val="FootnoteText"/>
      </w:pPr>
      <w:r>
        <w:rPr>
          <w:rStyle w:val="FootnoteReference"/>
        </w:rPr>
        <w:footnoteRef/>
      </w:r>
      <w:r>
        <w:t xml:space="preserve"> </w:t>
      </w:r>
      <w:r>
        <w:t xml:space="preserve">European Association of Centres of Medical Ethics,</w:t>
      </w:r>
      <w:r>
        <w:t xml:space="preserve"> </w:t>
      </w:r>
      <w:r>
        <w:t xml:space="preserve">“</w:t>
      </w:r>
      <w:r>
        <w:t xml:space="preserve">What is the EACME?</w:t>
      </w:r>
      <w:r>
        <w:t xml:space="preserve">”</w:t>
      </w:r>
      <w:r>
        <w:t xml:space="preserve"> </w:t>
      </w:r>
      <w:r>
        <w:t xml:space="preserve">current page accessed 12 September 2026, https://eacmeweb.com/.</w:t>
      </w:r>
    </w:p>
  </w:footnote>
  <w:footnote w:id="120">
    <w:p>
      <w:pPr>
        <w:pStyle w:val="FootnoteText"/>
      </w:pPr>
      <w:r>
        <w:rPr>
          <w:rStyle w:val="FootnoteReference"/>
        </w:rPr>
        <w:footnoteRef/>
      </w:r>
      <w:r>
        <w:t xml:space="preserve"> </w:t>
      </w:r>
      <w:r>
        <w:t xml:space="preserve">European Federation for Medical Informatics,</w:t>
      </w:r>
      <w:r>
        <w:t xml:space="preserve"> </w:t>
      </w:r>
      <w:r>
        <w:t xml:space="preserve">“</w:t>
      </w:r>
      <w:r>
        <w:t xml:space="preserve">Mission and Objectives,</w:t>
      </w:r>
      <w:r>
        <w:t xml:space="preserve">”</w:t>
      </w:r>
      <w:r>
        <w:t xml:space="preserve"> </w:t>
      </w:r>
      <w:r>
        <w:t xml:space="preserve">current page accessed 12 September 2026, https://efmi.org/about-efmi/.</w:t>
      </w:r>
    </w:p>
  </w:footnote>
  <w:footnote w:id="123">
    <w:p>
      <w:pPr>
        <w:pStyle w:val="FootnoteText"/>
      </w:pPr>
      <w:r>
        <w:rPr>
          <w:rStyle w:val="FootnoteReference"/>
        </w:rPr>
        <w:footnoteRef/>
      </w:r>
      <w:r>
        <w:t xml:space="preserve"> </w:t>
      </w:r>
      <w:r>
        <w:t xml:space="preserve">World Health Organization,</w:t>
      </w:r>
      <w:r>
        <w:t xml:space="preserve"> </w:t>
      </w:r>
      <w:r>
        <w:rPr>
          <w:i/>
          <w:iCs/>
        </w:rPr>
        <w:t xml:space="preserve">Global Patient Safety Action Plan 2021–2030</w:t>
      </w:r>
      <w:r>
        <w:t xml:space="preserve">, adopted by the Seventy-Fourth World Health Assembly in 2021, https://www.who.int/publications/i/item/9789240032705.</w:t>
      </w:r>
    </w:p>
  </w:footnote>
  <w:footnote w:id="125">
    <w:p>
      <w:pPr>
        <w:pStyle w:val="FootnoteText"/>
      </w:pPr>
      <w:r>
        <w:rPr>
          <w:rStyle w:val="FootnoteReference"/>
        </w:rPr>
        <w:footnoteRef/>
      </w:r>
      <w:r>
        <w:t xml:space="preserve"> </w:t>
      </w:r>
      <w:r>
        <w:t xml:space="preserve">World Medical Association,</w:t>
      </w:r>
      <w:r>
        <w:t xml:space="preserve"> </w:t>
      </w:r>
      <w:r>
        <w:rPr>
          <w:i/>
          <w:iCs/>
        </w:rPr>
        <w:t xml:space="preserve">International Code of Medical Ethics</w:t>
      </w:r>
      <w:r>
        <w:t xml:space="preserve"> </w:t>
      </w:r>
      <w:r>
        <w:t xml:space="preserve">(2022), paragraph 21 (</w:t>
      </w:r>
      <w:r>
        <w:t xml:space="preserve">“</w:t>
      </w:r>
      <w:r>
        <w:t xml:space="preserve">The physician must ensure accurate and timely medical documentation</w:t>
      </w:r>
      <w:r>
        <w:t xml:space="preserve">”</w:t>
      </w:r>
      <w:r>
        <w:t xml:space="preserve">), reproduced in the WMA Medical Ethics Manual, current WMA page accessed 12 September 2026, https://www.wma.net/hb-e-version-2024-2/.</w:t>
      </w:r>
    </w:p>
  </w:footnote>
  <w:footnote w:id="127">
    <w:p>
      <w:pPr>
        <w:pStyle w:val="FootnoteText"/>
      </w:pPr>
      <w:r>
        <w:rPr>
          <w:rStyle w:val="FootnoteReference"/>
        </w:rPr>
        <w:footnoteRef/>
      </w:r>
      <w:r>
        <w:t xml:space="preserve"> </w:t>
      </w:r>
      <w:r>
        <w:t xml:space="preserve">UNESCO,</w:t>
      </w:r>
      <w:r>
        <w:t xml:space="preserve"> </w:t>
      </w:r>
      <w:r>
        <w:t xml:space="preserve">“</w:t>
      </w:r>
      <w:r>
        <w:t xml:space="preserve">Universal Declaration on Bioethics and Human Rights,</w:t>
      </w:r>
      <w:r>
        <w:t xml:space="preserve">”</w:t>
      </w:r>
      <w:r>
        <w:t xml:space="preserve"> </w:t>
      </w:r>
      <w:r>
        <w:t xml:space="preserve">current page accessed 12 September 2026, https://www.unesco.org/en/ethics-science-technology/bioethics-and-human-rights.</w:t>
      </w:r>
    </w:p>
  </w:footnote>
  <w:footnote w:id="129">
    <w:p>
      <w:pPr>
        <w:pStyle w:val="FootnoteText"/>
      </w:pPr>
      <w:r>
        <w:rPr>
          <w:rStyle w:val="FootnoteReference"/>
        </w:rPr>
        <w:footnoteRef/>
      </w:r>
      <w:r>
        <w:t xml:space="preserve"> </w:t>
      </w:r>
      <w:r>
        <w:t xml:space="preserve">International Society for Quality in Health Care,</w:t>
      </w:r>
      <w:r>
        <w:t xml:space="preserve"> </w:t>
      </w:r>
      <w:r>
        <w:t xml:space="preserve">“</w:t>
      </w:r>
      <w:r>
        <w:t xml:space="preserve">About,</w:t>
      </w:r>
      <w:r>
        <w:t xml:space="preserve">”</w:t>
      </w:r>
      <w:r>
        <w:t xml:space="preserve"> </w:t>
      </w:r>
      <w:r>
        <w:t xml:space="preserve">current page accessed 12 September 2026, https://isqua.org/about/.</w:t>
      </w:r>
    </w:p>
  </w:footnote>
  <w:footnote w:id="132">
    <w:p>
      <w:pPr>
        <w:pStyle w:val="FootnoteText"/>
      </w:pPr>
      <w:r>
        <w:rPr>
          <w:rStyle w:val="FootnoteReference"/>
        </w:rPr>
        <w:footnoteRef/>
      </w:r>
      <w:r>
        <w:t xml:space="preserve"> </w:t>
      </w:r>
      <w:r>
        <w:t xml:space="preserve">Amy Y. Tsou et al.,</w:t>
      </w:r>
      <w:r>
        <w:t xml:space="preserve"> </w:t>
      </w:r>
      <w:r>
        <w:t xml:space="preserve">“</w:t>
      </w:r>
      <w:r>
        <w:t xml:space="preserve">Safe Practices for Copy and Paste in the EHR: Systematic Review, Recommendations, and Novel Model for Health IT Collaboration,</w:t>
      </w:r>
      <w:r>
        <w:t xml:space="preserve">”</w:t>
      </w:r>
      <w:r>
        <w:t xml:space="preserve"> </w:t>
      </w:r>
      <w:r>
        <w:rPr>
          <w:i/>
          <w:iCs/>
        </w:rPr>
        <w:t xml:space="preserve">Applied Clinical Informatics</w:t>
      </w:r>
      <w:r>
        <w:t xml:space="preserve"> </w:t>
      </w:r>
      <w:r>
        <w:t xml:space="preserve">8(1) (2017): 12–34, https://pubmed.ncbi.nlm.nih.gov/28074211/.</w:t>
      </w:r>
    </w:p>
  </w:footnote>
  <w:footnote w:id="138">
    <w:p>
      <w:pPr>
        <w:pStyle w:val="FootnoteText"/>
      </w:pPr>
      <w:r>
        <w:rPr>
          <w:rStyle w:val="FootnoteReference"/>
        </w:rPr>
        <w:footnoteRef/>
      </w:r>
      <w:r>
        <w:t xml:space="preserve"> </w:t>
      </w:r>
      <w:r>
        <w:t xml:space="preserve">Havi Carel and Ian James Kidd,</w:t>
      </w:r>
      <w:r>
        <w:t xml:space="preserve"> </w:t>
      </w:r>
      <w:r>
        <w:t xml:space="preserve">“</w:t>
      </w:r>
      <w:r>
        <w:t xml:space="preserve">Epistemic Injustice in Healthcare: A Philosophical Analysis,</w:t>
      </w:r>
      <w:r>
        <w:t xml:space="preserve">”</w:t>
      </w:r>
      <w:r>
        <w:t xml:space="preserve"> </w:t>
      </w:r>
      <w:r>
        <w:rPr>
          <w:i/>
          <w:iCs/>
        </w:rPr>
        <w:t xml:space="preserve">Medicine, Health Care and Philosophy</w:t>
      </w:r>
      <w:r>
        <w:t xml:space="preserve"> </w:t>
      </w:r>
      <w:r>
        <w:t xml:space="preserve">17(4) (2014): 529–540, https://pubmed.ncbi.nlm.nih.gov/24740808/.</w:t>
      </w:r>
    </w:p>
  </w:footnote>
  <w:footnote w:id="139">
    <w:p>
      <w:pPr>
        <w:pStyle w:val="FootnoteText"/>
      </w:pPr>
      <w:r>
        <w:rPr>
          <w:rStyle w:val="FootnoteReference"/>
        </w:rPr>
        <w:footnoteRef/>
      </w:r>
      <w:r>
        <w:t xml:space="preserve"> </w:t>
      </w:r>
      <w:r>
        <w:t xml:space="preserve">Marc Berg and Geoffrey Bowker,</w:t>
      </w:r>
      <w:r>
        <w:t xml:space="preserve"> </w:t>
      </w:r>
      <w:r>
        <w:t xml:space="preserve">“</w:t>
      </w:r>
      <w:r>
        <w:t xml:space="preserve">The Multiple Bodies of the Medical Record: Toward a Sociology of an Artifact,</w:t>
      </w:r>
      <w:r>
        <w:t xml:space="preserve">”</w:t>
      </w:r>
      <w:r>
        <w:t xml:space="preserve"> </w:t>
      </w:r>
      <w:r>
        <w:rPr>
          <w:i/>
          <w:iCs/>
        </w:rPr>
        <w:t xml:space="preserve">The Sociological Quarterly</w:t>
      </w:r>
      <w:r>
        <w:t xml:space="preserve"> </w:t>
      </w:r>
      <w:r>
        <w:t xml:space="preserve">38(3) (1997): 513–537, https://doi.org/10.1111/j.1533-8525.1997.tb00490.x. The paper argues that records do not merely represent a patient’s history but participate in the production and coordination of clinical knowledge.</w:t>
      </w:r>
    </w:p>
  </w:footnote>
  <w:footnote w:id="140">
    <w:p>
      <w:pPr>
        <w:pStyle w:val="FootnoteText"/>
      </w:pPr>
      <w:r>
        <w:rPr>
          <w:rStyle w:val="FootnoteReference"/>
        </w:rPr>
        <w:footnoteRef/>
      </w:r>
      <w:r>
        <w:t xml:space="preserve"> </w:t>
      </w:r>
      <w:r>
        <w:t xml:space="preserve">Anna P. Goddu et al.,</w:t>
      </w:r>
      <w:r>
        <w:t xml:space="preserve"> </w:t>
      </w:r>
      <w:r>
        <w:t xml:space="preserve">“</w:t>
      </w:r>
      <w:r>
        <w:t xml:space="preserve">Do Words Matter? Stigmatizing Language and the Transmission of Bias in the Medical Record,</w:t>
      </w:r>
      <w:r>
        <w:t xml:space="preserve">”</w:t>
      </w:r>
      <w:r>
        <w:t xml:space="preserve"> </w:t>
      </w:r>
      <w:r>
        <w:rPr>
          <w:i/>
          <w:iCs/>
        </w:rPr>
        <w:t xml:space="preserve">Journal of General Internal Medicine</w:t>
      </w:r>
      <w:r>
        <w:t xml:space="preserve"> </w:t>
      </w:r>
      <w:r>
        <w:t xml:space="preserve">33 (2018): 685–691, https://pmc.ncbi.nlm.nih.gov/articles/PMC5910343/. In a randomized vignette study, stigmatizing note language changed trainees’ attitudes and pain-management choices despite medically equivalent information.</w:t>
      </w:r>
    </w:p>
  </w:footnote>
  <w:footnote w:id="141">
    <w:p>
      <w:pPr>
        <w:pStyle w:val="FootnoteText"/>
      </w:pPr>
      <w:r>
        <w:rPr>
          <w:rStyle w:val="FootnoteReference"/>
        </w:rPr>
        <w:footnoteRef/>
      </w:r>
      <w:r>
        <w:t xml:space="preserve"> </w:t>
      </w:r>
      <w:r>
        <w:t xml:space="preserve">Amy Y. Tsou et al.,</w:t>
      </w:r>
      <w:r>
        <w:t xml:space="preserve"> </w:t>
      </w:r>
      <w:r>
        <w:t xml:space="preserve">“</w:t>
      </w:r>
      <w:r>
        <w:t xml:space="preserve">Safe Practices for Copy and Paste in the EHR: Systematic Review, Recommendations, and Novel Model for Health IT Collaboration,</w:t>
      </w:r>
      <w:r>
        <w:t xml:space="preserve">”</w:t>
      </w:r>
      <w:r>
        <w:t xml:space="preserve"> </w:t>
      </w:r>
      <w:r>
        <w:rPr>
          <w:i/>
          <w:iCs/>
        </w:rPr>
        <w:t xml:space="preserve">Applied Clinical Informatics</w:t>
      </w:r>
      <w:r>
        <w:t xml:space="preserve"> </w:t>
      </w:r>
      <w:r>
        <w:t xml:space="preserve">8(1) (2017): 12–34, https://pubmed.ncbi.nlm.nih.gov/28074211/.</w:t>
      </w:r>
    </w:p>
  </w:footnote>
  <w:footnote w:id="142">
    <w:p>
      <w:pPr>
        <w:pStyle w:val="FootnoteText"/>
      </w:pPr>
      <w:r>
        <w:rPr>
          <w:rStyle w:val="FootnoteReference"/>
        </w:rPr>
        <w:footnoteRef/>
      </w:r>
      <w:r>
        <w:t xml:space="preserve"> </w:t>
      </w:r>
      <w:r>
        <w:t xml:space="preserve">Stavros Stavropoulou, Christian Doherty and Paul Tosey,</w:t>
      </w:r>
      <w:r>
        <w:t xml:space="preserve"> </w:t>
      </w:r>
      <w:r>
        <w:t xml:space="preserve">“</w:t>
      </w:r>
      <w:r>
        <w:t xml:space="preserve">How Effective Are Incident-Reporting Systems for Improving Patient Safety? A Systematic Literature Review,</w:t>
      </w:r>
      <w:r>
        <w:t xml:space="preserve">”</w:t>
      </w:r>
      <w:r>
        <w:t xml:space="preserve"> </w:t>
      </w:r>
      <w:r>
        <w:rPr>
          <w:i/>
          <w:iCs/>
        </w:rPr>
        <w:t xml:space="preserve">Milbank Quarterly</w:t>
      </w:r>
      <w:r>
        <w:t xml:space="preserve"> </w:t>
      </w:r>
      <w:r>
        <w:t xml:space="preserve">93(4) (2015): 826–866, https://pmc.ncbi.nlm.nih.gov/articles/PMC4678941/.</w:t>
      </w:r>
    </w:p>
  </w:footnote>
  <w:footnote w:id="155">
    <w:p>
      <w:pPr>
        <w:pStyle w:val="FootnoteText"/>
      </w:pPr>
      <w:r>
        <w:rPr>
          <w:rStyle w:val="FootnoteReference"/>
        </w:rPr>
        <w:footnoteRef/>
      </w:r>
      <w:r>
        <w:t xml:space="preserve"> </w:t>
      </w:r>
      <w:r>
        <w:t xml:space="preserve">Houses of the Oireachtas,</w:t>
      </w:r>
      <w:r>
        <w:t xml:space="preserve"> </w:t>
      </w:r>
      <w:r>
        <w:t xml:space="preserve">“</w:t>
      </w:r>
      <w:r>
        <w:t xml:space="preserve">Health Information Bill 2024 — No. 61 of 2024,</w:t>
      </w:r>
      <w:r>
        <w:t xml:space="preserve">”</w:t>
      </w:r>
      <w:r>
        <w:t xml:space="preserve"> </w:t>
      </w:r>
      <w:r>
        <w:t xml:space="preserve">legislative history and current bill materials, https://www.oireachtas.ie/en/bills/bill/2024/61/. Because legislative status can change rapidly, the repository should re-check enactment/commencement rather than rely on a static report date.</w:t>
      </w:r>
    </w:p>
  </w:footnote>
  <w:footnote w:id="156">
    <w:p>
      <w:pPr>
        <w:pStyle w:val="FootnoteText"/>
      </w:pPr>
      <w:r>
        <w:rPr>
          <w:rStyle w:val="FootnoteReference"/>
        </w:rPr>
        <w:footnoteRef/>
      </w:r>
      <w:r>
        <w:t xml:space="preserve"> </w:t>
      </w:r>
      <w:r>
        <w:t xml:space="preserve">Department of Health,</w:t>
      </w:r>
      <w:r>
        <w:t xml:space="preserve"> </w:t>
      </w:r>
      <w:r>
        <w:t xml:space="preserve">“</w:t>
      </w:r>
      <w:r>
        <w:t xml:space="preserve">Minister announces Government approval to commence procurement for a National Electronic Health Record,</w:t>
      </w:r>
      <w:r>
        <w:t xml:space="preserve">”</w:t>
      </w:r>
      <w:r>
        <w:t xml:space="preserve"> </w:t>
      </w:r>
      <w:r>
        <w:t xml:space="preserve">5 February 2026, https://www.gov.ie/en/department-of-health/press-releases/minister-announces-government-approval-to-commence-procurement-for-a-national-electronic-health-record/.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4" w:line="259" w:lineRule="auto"/>
    </w:pPr>
    <w:rPr>
      <w:rFonts w:ascii="Liberation Sans" w:hAnsi="Liberation San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20" w:before="0"/>
      <w:jc w:val="center"/>
    </w:pPr>
    <w:rPr>
      <w:rFonts w:asciiTheme="majorHAnsi" w:cstheme="majorBidi" w:eastAsiaTheme="majorEastAsia" w:hAnsiTheme="majorHAnsi" w:ascii="Liberation Sans" w:hAnsi="Liberation Sans"/>
      <w:b/>
      <w:bCs/>
      <w:color w:val="1F2937"/>
      <w:sz w:val="4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hAnsi="Liberation Sans"/>
      <w:sz w:val="20"/>
    </w:rPr>
  </w:style>
  <w:style w:styleId="FootnoteText" w:type="paragraph">
    <w:name w:val="Footnote Text"/>
    <w:basedOn w:val="Normal"/>
    <w:next w:val="FootnoteText"/>
    <w:uiPriority w:val="9"/>
    <w:unhideWhenUsed/>
    <w:qFormat/>
    <w:rPr>
      <w:rFonts w:ascii="Liberation Sans" w:hAnsi="Liberation Sans"/>
      <w:sz w:val="16"/>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Liberation Sans" w:hAnsi="Liberation Sans"/>
      <w:sz w:val="15"/>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Ethics and Institutional Significance Review</dc:title>
  <dc:creator/>
  <cp:keywords/>
  <dcterms:created xsi:type="dcterms:W3CDTF">2026-09-12T17:31:12Z</dcterms:created>
  <dcterms:modified xsi:type="dcterms:W3CDTF">2026-09-12T17:31:12Z</dcterms:modified>
  <dc:subject>Medical ethics, patient safety, medical-record integrity and institutional significance</dc:subject>
  <cp:lastModifiedBy/>
</cp:coreProperties>
</file>

<file path=docProps/custom.xml><?xml version="1.0" encoding="utf-8"?>
<Properties xmlns="http://schemas.openxmlformats.org/officeDocument/2006/custom-properties" xmlns:vt="http://schemas.openxmlformats.org/officeDocument/2006/docPropsVTypes"/>
</file>