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5C8E" w:val="clear"/>
        <w:spacing w:after="200" w:before="720"/>
        <w:jc w:val="center"/>
      </w:pPr>
      <w:r>
        <w:rPr>
          <w:rFonts w:ascii="Arial" w:cs="Arial" w:eastAsia="Arial" w:hAnsi="Arial"/>
          <w:b/>
          <w:bCs/>
          <w:color w:val="FFFFFF"/>
          <w:sz w:val="56"/>
          <w:szCs w:val="56"/>
        </w:rPr>
        <w:br/>
        <w:t xml:space="preserve">CLIMAT IA</w:t>
      </w:r>
    </w:p>
    <w:p>
      <w:pPr>
        <w:shd w:fill="1E5C8E" w:val="clear"/>
        <w:spacing w:after="100" w:before="0"/>
        <w:jc w:val="center"/>
      </w:pPr>
      <w:r>
        <w:rPr>
          <w:rFonts w:ascii="Arial" w:cs="Arial" w:eastAsia="Arial" w:hAnsi="Arial"/>
          <w:i/>
          <w:iCs/>
          <w:color w:val="A8D8EA"/>
          <w:sz w:val="28"/>
          <w:szCs w:val="28"/>
        </w:rPr>
        <w:t xml:space="preserve">Architecture Microservices Polyglotte</w:t>
      </w:r>
    </w:p>
    <w:p>
      <w:pPr>
        <w:shd w:fill="1E5C8E" w:val="clear"/>
        <w:spacing w:after="400" w:before="0"/>
        <w:jc w:val="center"/>
      </w:pPr>
      <w:r>
        <w:rPr>
          <w:rFonts w:ascii="Arial" w:cs="Arial" w:eastAsia="Arial" w:hAnsi="Arial"/>
          <w:color w:val="D0ECF8"/>
          <w:sz w:val="22"/>
          <w:szCs w:val="22"/>
        </w:rPr>
        <w:t xml:space="preserve">Modélisation de l'Impact Climatique sur les Rendements Agricoles</w:t>
      </w:r>
    </w:p>
    <w:p>
      <w:pPr>
        <w:spacing w:after="200" w:before="200"/>
        <w:jc w:val="center"/>
      </w:pPr>
      <w:r>
        <w:rPr>
          <w:rFonts w:ascii="Arial" w:cs="Arial" w:eastAsia="Arial" w:hAnsi="Arial"/>
          <w:color w:val="FFFFFF"/>
          <w:sz w:val="20"/>
          <w:szCs w:val="20"/>
          <w:shd w:fill="336791" w:val="clear"/>
        </w:rPr>
        <w:t xml:space="preserve">  PostgreSQL 16 (ACID)  </w:t>
      </w:r>
      <w:r>
        <w:t xml:space="preserve">   </w:t>
      </w:r>
      <w:r>
        <w:rPr>
          <w:rFonts w:ascii="Arial" w:cs="Arial" w:eastAsia="Arial" w:hAnsi="Arial"/>
          <w:color w:val="FFFFFF"/>
          <w:sz w:val="20"/>
          <w:szCs w:val="20"/>
        </w:rPr>
        <w:t xml:space="preserve">  Apache Cassandra 4.1 (AP)  </w:t>
      </w:r>
      <w:r>
        <w:t xml:space="preserve">   </w:t>
      </w:r>
      <w:r>
        <w:rPr>
          <w:rFonts w:ascii="Arial" w:cs="Arial" w:eastAsia="Arial" w:hAnsi="Arial"/>
          <w:color w:val="FFFFFF"/>
          <w:sz w:val="20"/>
          <w:szCs w:val="20"/>
        </w:rPr>
        <w:t xml:space="preserve">  Redis 7 (Cache)  </w:t>
      </w:r>
      <w:r>
        <w:t xml:space="preserve">   </w:t>
      </w:r>
      <w:r>
        <w:rPr>
          <w:rFonts w:ascii="Arial" w:cs="Arial" w:eastAsia="Arial" w:hAnsi="Arial"/>
          <w:color w:val="FFFFFF"/>
          <w:sz w:val="20"/>
          <w:szCs w:val="20"/>
        </w:rPr>
        <w:t xml:space="preserve">  FastAPI · Docker Compose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Champ</w:t>
            </w:r>
          </w:p>
        </w:tc>
        <w:tc>
          <w:tcPr>
            <w:tcW w:type="dxa" w:w="656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w:t>
            </w:r>
          </w:p>
        </w:tc>
      </w:tr>
      <w:tr>
        <w:trPr>
          <w:tblHeader w:val="false"/>
        </w:trPr>
        <w:tc>
          <w:tcPr>
            <w:tcW w:type="dxa" w:w="2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Auteur</w:t>
            </w:r>
          </w:p>
        </w:tc>
        <w:tc>
          <w:tcPr>
            <w:tcW w:type="dxa" w:w="65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 Titan (Oumaro Djiguimde) — ESMT Dakar, Promotion 2025-2026</w:t>
            </w:r>
          </w:p>
        </w:tc>
      </w:tr>
      <w:tr>
        <w:trPr>
          <w:tblHeader w:val="false"/>
        </w:trPr>
        <w:tc>
          <w:tcPr>
            <w:tcW w:type="dxa" w:w="2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Programme</w:t>
            </w:r>
          </w:p>
        </w:tc>
        <w:tc>
          <w:tcPr>
            <w:tcW w:type="dxa" w:w="65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Master Data Engineering &amp; IA (InDIA) — INGC 2</w:t>
            </w:r>
          </w:p>
        </w:tc>
      </w:tr>
      <w:tr>
        <w:trPr>
          <w:tblHeader w:val="false"/>
        </w:trPr>
        <w:tc>
          <w:tcPr>
            <w:tcW w:type="dxa" w:w="2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Module</w:t>
            </w:r>
          </w:p>
        </w:tc>
        <w:tc>
          <w:tcPr>
            <w:tcW w:type="dxa" w:w="65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Systèmes Répartis &amp; Conteneurisation SR1</w:t>
            </w:r>
          </w:p>
        </w:tc>
      </w:tr>
      <w:tr>
        <w:trPr>
          <w:tblHeader w:val="false"/>
        </w:trPr>
        <w:tc>
          <w:tcPr>
            <w:tcW w:type="dxa" w:w="2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 TFE</w:t>
            </w:r>
          </w:p>
        </w:tc>
        <w:tc>
          <w:tcPr>
            <w:tcW w:type="dxa" w:w="65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Delandmeter M. (2021) — Gembloux Agro-Bio Tech, ULiège</w:t>
            </w:r>
          </w:p>
        </w:tc>
      </w:tr>
      <w:tr>
        <w:trPr>
          <w:tblHeader w:val="false"/>
        </w:trPr>
        <w:tc>
          <w:tcPr>
            <w:tcW w:type="dxa" w:w="2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Scénarios climatiques</w:t>
            </w:r>
          </w:p>
        </w:tc>
        <w:tc>
          <w:tcPr>
            <w:tcW w:type="dxa" w:w="65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RCP 4.5 (modéré) et RCP 8.5 (pessimiste)</w:t>
            </w:r>
          </w:p>
        </w:tc>
      </w:tr>
      <w:tr>
        <w:trPr>
          <w:tblHeader w:val="false"/>
        </w:trPr>
        <w:tc>
          <w:tcPr>
            <w:tcW w:type="dxa" w:w="2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Algorithme IA</w:t>
            </w:r>
          </w:p>
        </w:tc>
        <w:tc>
          <w:tcPr>
            <w:tcW w:type="dxa" w:w="65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K-Means non supervisé avec validation par score de silhouette</w:t>
            </w:r>
          </w:p>
        </w:tc>
      </w:tr>
    </w:tbl>
    <w:p>
      <w:r>
        <w:br w:type="page"/>
      </w:r>
    </w:p>
    <w:p>
      <w:pPr>
        <w:pStyle w:val="Heading1"/>
        <w:spacing w:after="200" w:before="360"/>
      </w:pPr>
      <w:r>
        <w:rPr>
          <w:rFonts w:ascii="Arial" w:cs="Arial" w:eastAsia="Arial" w:hAnsi="Arial"/>
          <w:b/>
          <w:bCs/>
          <w:color w:val="1E5C8E"/>
          <w:sz w:val="30"/>
          <w:szCs w:val="30"/>
        </w:rPr>
        <w:t xml:space="preserve">1. Résumé Exécutif</w:t>
      </w:r>
    </w:p>
    <w:p>
      <w:pPr>
        <w:spacing w:after="100" w:before="100"/>
      </w:pPr>
      <w:r>
        <w:rPr>
          <w:rFonts w:ascii="Arial" w:cs="Arial" w:eastAsia="Arial" w:hAnsi="Arial"/>
          <w:sz w:val="22"/>
          <w:szCs w:val="22"/>
        </w:rPr>
        <w:t xml:space="preserve">Ce dépôt documente la conception, l'implémentation et le déploiement d'un système distribué microservices de niveau production, dédié à la modélisation de l'impact du changement climatique sur les rendements agricoles. L'architecture repose sur une stratégie de Polyglot Persistence — persistance polyglotte — mobilisant conjointement trois technologies de stockage aux propriétés formelles complémentaires, chacune affectée à un régime de données distinct.</w:t>
      </w:r>
    </w:p>
    <w:p>
      <w:pPr>
        <w:spacing w:after="100" w:before="100"/>
      </w:pPr>
      <w:r>
        <w:rPr>
          <w:rFonts w:ascii="Arial" w:cs="Arial" w:eastAsia="Arial" w:hAnsi="Arial"/>
          <w:sz w:val="22"/>
          <w:szCs w:val="22"/>
        </w:rPr>
        <w:t xml:space="preserve">Le système modélise les trois systèmes de production agricole contrastés du Travail de Fin d'Études de Delandmeter (2021, Gembloux Agro-Bio Tech) sous les scénarios climatiques RCP 4.5 et RCP 8.5, sur les périodes prospectives 2045-2069 et 2075-2099.</w:t>
      </w:r>
    </w:p>
    <w:p>
      <w:pPr>
        <w:pBdr>
          <w:bottom w:val="single" w:color="1E5C8E" w:sz="2" w:space="1"/>
        </w:pBdr>
        <w:spacing w:after="200" w:before="200"/>
      </w:pPr>
    </w:p>
    <w:p>
      <w:pPr>
        <w:pStyle w:val="Heading1"/>
        <w:spacing w:after="200" w:before="360"/>
      </w:pPr>
      <w:r>
        <w:rPr>
          <w:rFonts w:ascii="Arial" w:cs="Arial" w:eastAsia="Arial" w:hAnsi="Arial"/>
          <w:b/>
          <w:bCs/>
          <w:color w:val="1E5C8E"/>
          <w:sz w:val="30"/>
          <w:szCs w:val="30"/>
        </w:rPr>
        <w:t xml:space="preserve">2. Arborescence du Dépôt GitHub</w:t>
      </w:r>
    </w:p>
    <w:p>
      <w:pPr>
        <w:shd w:fill="1E1E2E" w:val="clear"/>
        <w:spacing w:after="80" w:before="80"/>
        <w:ind w:left="360" w:right="360"/>
      </w:pPr>
      <w:r>
        <w:rPr>
          <w:rFonts w:ascii="Courier New" w:cs="Courier New" w:eastAsia="Courier New" w:hAnsi="Courier New"/>
          <w:color w:val="A6E22E"/>
          <w:sz w:val="18"/>
          <w:szCs w:val="18"/>
        </w:rPr>
        <w:t xml:space="preserve">mon-projet-climat-ia/</w:t>
      </w:r>
    </w:p>
    <w:p>
      <w:pPr>
        <w:shd w:fill="1E1E2E" w:val="clear"/>
        <w:spacing w:after="80" w:before="80"/>
        <w:ind w:left="360" w:right="360"/>
      </w:pPr>
      <w:r>
        <w:rPr>
          <w:rFonts w:ascii="Courier New" w:cs="Courier New" w:eastAsia="Courier New" w:hAnsi="Courier New"/>
          <w:color w:val="A6E22E"/>
          <w:sz w:val="18"/>
          <w:szCs w:val="18"/>
        </w:rPr>
        <w:t xml:space="preserve">├── .gitignore</w:t>
      </w:r>
    </w:p>
    <w:p>
      <w:pPr>
        <w:shd w:fill="1E1E2E" w:val="clear"/>
        <w:spacing w:after="80" w:before="80"/>
        <w:ind w:left="360" w:right="360"/>
      </w:pPr>
      <w:r>
        <w:rPr>
          <w:rFonts w:ascii="Courier New" w:cs="Courier New" w:eastAsia="Courier New" w:hAnsi="Courier New"/>
          <w:color w:val="A6E22E"/>
          <w:sz w:val="18"/>
          <w:szCs w:val="18"/>
        </w:rPr>
        <w:t xml:space="preserve">├── README.md                    ← Ce document</w:t>
      </w:r>
    </w:p>
    <w:p>
      <w:pPr>
        <w:shd w:fill="1E1E2E" w:val="clear"/>
        <w:spacing w:after="80" w:before="80"/>
        <w:ind w:left="360" w:right="360"/>
      </w:pPr>
      <w:r>
        <w:rPr>
          <w:rFonts w:ascii="Courier New" w:cs="Courier New" w:eastAsia="Courier New" w:hAnsi="Courier New"/>
          <w:color w:val="A6E22E"/>
          <w:sz w:val="18"/>
          <w:szCs w:val="18"/>
        </w:rPr>
        <w:t xml:space="preserve">├── frontend/                    ← Interface Streamlit</w:t>
      </w:r>
    </w:p>
    <w:p>
      <w:pPr>
        <w:shd w:fill="1E1E2E" w:val="clear"/>
        <w:spacing w:after="80" w:before="80"/>
        <w:ind w:left="360" w:right="360"/>
      </w:pPr>
      <w:r>
        <w:rPr>
          <w:rFonts w:ascii="Courier New" w:cs="Courier New" w:eastAsia="Courier New" w:hAnsi="Courier New"/>
          <w:color w:val="A6E22E"/>
          <w:sz w:val="18"/>
          <w:szCs w:val="18"/>
        </w:rPr>
        <w:t xml:space="preserve">│   ├── Dockerfile</w:t>
      </w:r>
    </w:p>
    <w:p>
      <w:pPr>
        <w:shd w:fill="1E1E2E" w:val="clear"/>
        <w:spacing w:after="80" w:before="80"/>
        <w:ind w:left="360" w:right="360"/>
      </w:pPr>
      <w:r>
        <w:rPr>
          <w:rFonts w:ascii="Courier New" w:cs="Courier New" w:eastAsia="Courier New" w:hAnsi="Courier New"/>
          <w:color w:val="A6E22E"/>
          <w:sz w:val="18"/>
          <w:szCs w:val="18"/>
        </w:rPr>
        <w:t xml:space="preserve">│   └── src/app.py               ← Dashboard Plotly + appel API</w:t>
      </w:r>
    </w:p>
    <w:p>
      <w:pPr>
        <w:shd w:fill="1E1E2E" w:val="clear"/>
        <w:spacing w:after="80" w:before="80"/>
        <w:ind w:left="360" w:right="360"/>
      </w:pPr>
      <w:r>
        <w:rPr>
          <w:rFonts w:ascii="Courier New" w:cs="Courier New" w:eastAsia="Courier New" w:hAnsi="Courier New"/>
          <w:color w:val="A6E22E"/>
          <w:sz w:val="18"/>
          <w:szCs w:val="18"/>
        </w:rPr>
        <w:t xml:space="preserve">└── backend/                     ← Cœur infrastructure distribuée</w:t>
      </w:r>
    </w:p>
    <w:p>
      <w:pPr>
        <w:shd w:fill="1E1E2E" w:val="clear"/>
        <w:spacing w:after="80" w:before="80"/>
        <w:ind w:left="360" w:right="360"/>
      </w:pPr>
      <w:r>
        <w:rPr>
          <w:rFonts w:ascii="Courier New" w:cs="Courier New" w:eastAsia="Courier New" w:hAnsi="Courier New"/>
          <w:color w:val="A6E22E"/>
          <w:sz w:val="18"/>
          <w:szCs w:val="18"/>
        </w:rPr>
        <w:t xml:space="preserve">    ├── docker-compose.yml        ← Orchestration 7 services</w:t>
      </w:r>
    </w:p>
    <w:p>
      <w:pPr>
        <w:shd w:fill="1E1E2E" w:val="clear"/>
        <w:spacing w:after="80" w:before="80"/>
        <w:ind w:left="360" w:right="360"/>
      </w:pPr>
      <w:r>
        <w:rPr>
          <w:rFonts w:ascii="Courier New" w:cs="Courier New" w:eastAsia="Courier New" w:hAnsi="Courier New"/>
          <w:color w:val="A6E22E"/>
          <w:sz w:val="18"/>
          <w:szCs w:val="18"/>
        </w:rPr>
        <w:t xml:space="preserve">    ├── .env.example</w:t>
      </w:r>
    </w:p>
    <w:p>
      <w:pPr>
        <w:shd w:fill="1E1E2E" w:val="clear"/>
        <w:spacing w:after="80" w:before="80"/>
        <w:ind w:left="360" w:right="360"/>
      </w:pPr>
      <w:r>
        <w:rPr>
          <w:rFonts w:ascii="Courier New" w:cs="Courier New" w:eastAsia="Courier New" w:hAnsi="Courier New"/>
          <w:color w:val="A6E22E"/>
          <w:sz w:val="18"/>
          <w:szCs w:val="18"/>
        </w:rPr>
        <w:t xml:space="preserve">    ├── climat_ia.conf           ← Reverse Proxy NGINX</w:t>
      </w:r>
    </w:p>
    <w:p>
      <w:pPr>
        <w:shd w:fill="1E1E2E" w:val="clear"/>
        <w:spacing w:after="80" w:before="80"/>
        <w:ind w:left="360" w:right="360"/>
      </w:pPr>
      <w:r>
        <w:rPr>
          <w:rFonts w:ascii="Courier New" w:cs="Courier New" w:eastAsia="Courier New" w:hAnsi="Courier New"/>
          <w:color w:val="A6E22E"/>
          <w:sz w:val="18"/>
          <w:szCs w:val="18"/>
        </w:rPr>
        <w:t xml:space="preserve">    ├── deploy_guide.sh          ← Déploiement + chaos-engineering</w:t>
      </w:r>
    </w:p>
    <w:p>
      <w:pPr>
        <w:shd w:fill="1E1E2E" w:val="clear"/>
        <w:spacing w:after="80" w:before="80"/>
        <w:ind w:left="360" w:right="360"/>
      </w:pPr>
      <w:r>
        <w:rPr>
          <w:rFonts w:ascii="Courier New" w:cs="Courier New" w:eastAsia="Courier New" w:hAnsi="Courier New"/>
          <w:color w:val="A6E22E"/>
          <w:sz w:val="18"/>
          <w:szCs w:val="18"/>
        </w:rPr>
        <w:t xml:space="preserve">    ├── db/</w:t>
      </w:r>
    </w:p>
    <w:p>
      <w:pPr>
        <w:shd w:fill="1E1E2E" w:val="clear"/>
        <w:spacing w:after="80" w:before="80"/>
        <w:ind w:left="360" w:right="360"/>
      </w:pPr>
      <w:r>
        <w:rPr>
          <w:rFonts w:ascii="Courier New" w:cs="Courier New" w:eastAsia="Courier New" w:hAnsi="Courier New"/>
          <w:color w:val="A6E22E"/>
          <w:sz w:val="18"/>
          <w:szCs w:val="18"/>
        </w:rPr>
        <w:t xml:space="preserve">    │   ├── postgres_init.sql    ← Schéma ACID (profils, métriques, logs)</w:t>
      </w:r>
    </w:p>
    <w:p>
      <w:pPr>
        <w:shd w:fill="1E1E2E" w:val="clear"/>
        <w:spacing w:after="80" w:before="80"/>
        <w:ind w:left="360" w:right="360"/>
      </w:pPr>
      <w:r>
        <w:rPr>
          <w:rFonts w:ascii="Courier New" w:cs="Courier New" w:eastAsia="Courier New" w:hAnsi="Courier New"/>
          <w:color w:val="A6E22E"/>
          <w:sz w:val="18"/>
          <w:szCs w:val="18"/>
        </w:rPr>
        <w:t xml:space="preserve">    │   └── cassandra_init.cql   ← Keyspace + table séries temporelles</w:t>
      </w:r>
    </w:p>
    <w:p>
      <w:pPr>
        <w:shd w:fill="1E1E2E" w:val="clear"/>
        <w:spacing w:after="80" w:before="80"/>
        <w:ind w:left="360" w:right="360"/>
      </w:pPr>
      <w:r>
        <w:rPr>
          <w:rFonts w:ascii="Courier New" w:cs="Courier New" w:eastAsia="Courier New" w:hAnsi="Courier New"/>
          <w:color w:val="A6E22E"/>
          <w:sz w:val="18"/>
          <w:szCs w:val="18"/>
        </w:rPr>
        <w:t xml:space="preserve">    ├── api/</w:t>
      </w:r>
    </w:p>
    <w:p>
      <w:pPr>
        <w:shd w:fill="1E1E2E" w:val="clear"/>
        <w:spacing w:after="80" w:before="80"/>
        <w:ind w:left="360" w:right="360"/>
      </w:pPr>
      <w:r>
        <w:rPr>
          <w:rFonts w:ascii="Courier New" w:cs="Courier New" w:eastAsia="Courier New" w:hAnsi="Courier New"/>
          <w:color w:val="A6E22E"/>
          <w:sz w:val="18"/>
          <w:szCs w:val="18"/>
        </w:rPr>
        <w:t xml:space="preserve">    │   ├── Dockerfile           ← Build multi-stage Python/FastAPI</w:t>
      </w:r>
    </w:p>
    <w:p>
      <w:pPr>
        <w:shd w:fill="1E1E2E" w:val="clear"/>
        <w:spacing w:after="80" w:before="80"/>
        <w:ind w:left="360" w:right="360"/>
      </w:pPr>
      <w:r>
        <w:rPr>
          <w:rFonts w:ascii="Courier New" w:cs="Courier New" w:eastAsia="Courier New" w:hAnsi="Courier New"/>
          <w:color w:val="A6E22E"/>
          <w:sz w:val="18"/>
          <w:szCs w:val="18"/>
        </w:rPr>
        <w:t xml:space="preserve">    │   └── src/main.py          ← Cache-aside Redis → PostgreSQL</w:t>
      </w:r>
    </w:p>
    <w:p>
      <w:pPr>
        <w:shd w:fill="1E1E2E" w:val="clear"/>
        <w:spacing w:after="80" w:before="80"/>
        <w:ind w:left="360" w:right="360"/>
      </w:pPr>
      <w:r>
        <w:rPr>
          <w:rFonts w:ascii="Courier New" w:cs="Courier New" w:eastAsia="Courier New" w:hAnsi="Courier New"/>
          <w:color w:val="A6E22E"/>
          <w:sz w:val="18"/>
          <w:szCs w:val="18"/>
        </w:rPr>
        <w:t xml:space="preserve">    └── worker/</w:t>
      </w:r>
    </w:p>
    <w:p>
      <w:pPr>
        <w:shd w:fill="1E1E2E" w:val="clear"/>
        <w:spacing w:after="80" w:before="80"/>
        <w:ind w:left="360" w:right="360"/>
      </w:pPr>
      <w:r>
        <w:rPr>
          <w:rFonts w:ascii="Courier New" w:cs="Courier New" w:eastAsia="Courier New" w:hAnsi="Courier New"/>
          <w:color w:val="A6E22E"/>
          <w:sz w:val="18"/>
          <w:szCs w:val="18"/>
        </w:rPr>
        <w:t xml:space="preserve">        ├── Dockerfile</w:t>
      </w:r>
    </w:p>
    <w:p>
      <w:pPr>
        <w:shd w:fill="1E1E2E" w:val="clear"/>
        <w:spacing w:after="80" w:before="80"/>
        <w:ind w:left="360" w:right="360"/>
      </w:pPr>
      <w:r>
        <w:rPr>
          <w:rFonts w:ascii="Courier New" w:cs="Courier New" w:eastAsia="Courier New" w:hAnsi="Courier New"/>
          <w:color w:val="A6E22E"/>
          <w:sz w:val="18"/>
          <w:szCs w:val="18"/>
        </w:rPr>
        <w:t xml:space="preserve">        └── src/pipeline_clustering.py  ← Cassandra → K-Means → PostgreSQL</w:t>
      </w:r>
    </w:p>
    <w:p>
      <w:pPr>
        <w:pBdr>
          <w:bottom w:val="single" w:color="1E5C8E" w:sz="2" w:space="1"/>
        </w:pBdr>
        <w:spacing w:after="200" w:before="200"/>
      </w:pPr>
    </w:p>
    <w:p>
      <w:pPr>
        <w:pStyle w:val="Heading1"/>
        <w:spacing w:after="200" w:before="360"/>
      </w:pPr>
      <w:r>
        <w:rPr>
          <w:rFonts w:ascii="Arial" w:cs="Arial" w:eastAsia="Arial" w:hAnsi="Arial"/>
          <w:b/>
          <w:bCs/>
          <w:color w:val="1E5C8E"/>
          <w:sz w:val="30"/>
          <w:szCs w:val="30"/>
        </w:rPr>
        <w:t xml:space="preserve">3. Architecture du Stockage Polyglotte</w:t>
      </w:r>
    </w:p>
    <w:p>
      <w:pPr>
        <w:pStyle w:val="Heading2"/>
        <w:spacing w:after="140" w:before="280"/>
      </w:pPr>
      <w:r>
        <w:rPr>
          <w:rFonts w:ascii="Arial" w:cs="Arial" w:eastAsia="Arial" w:hAnsi="Arial"/>
          <w:b/>
          <w:bCs/>
          <w:color w:val="1E5C8E"/>
          <w:sz w:val="26"/>
          <w:szCs w:val="26"/>
        </w:rPr>
        <w:t xml:space="preserve">3.1 Fondements Théoriques : Théorème de CAP</w:t>
      </w:r>
    </w:p>
    <w:p>
      <w:pPr>
        <w:spacing w:after="100" w:before="100"/>
      </w:pPr>
      <w:r>
        <w:rPr>
          <w:rFonts w:ascii="Arial" w:cs="Arial" w:eastAsia="Arial" w:hAnsi="Arial"/>
          <w:sz w:val="22"/>
          <w:szCs w:val="22"/>
        </w:rPr>
        <w:t xml:space="preserve">Le choix de trois technologies de stockage complémentaires repose sur une analyse rigoureuse du Théorème de CAP (Brewer, 2000), qui démontre qu'un système distribué ne peut simultanément garantir que deux des trois propriétés suivantes :</w:t>
      </w:r>
    </w:p>
    <w:p>
      <w:pPr>
        <w:pStyle w:val="ListParagraph"/>
        <w:numPr>
          <w:ilvl w:val="0"/>
          <w:numId w:val="2"/>
        </w:numPr>
        <w:spacing w:after="60" w:before="60"/>
      </w:pPr>
      <w:r>
        <w:rPr>
          <w:rFonts w:ascii="Arial" w:cs="Arial" w:eastAsia="Arial" w:hAnsi="Arial"/>
          <w:sz w:val="22"/>
          <w:szCs w:val="22"/>
        </w:rPr>
        <w:t xml:space="preserve">Consistency (Cohérence) : toute lecture reçoit la valeur la plus récente ou une erreur.</w:t>
      </w:r>
    </w:p>
    <w:p>
      <w:pPr>
        <w:pStyle w:val="ListParagraph"/>
        <w:numPr>
          <w:ilvl w:val="0"/>
          <w:numId w:val="2"/>
        </w:numPr>
        <w:spacing w:after="60" w:before="60"/>
      </w:pPr>
      <w:r>
        <w:rPr>
          <w:rFonts w:ascii="Arial" w:cs="Arial" w:eastAsia="Arial" w:hAnsi="Arial"/>
          <w:sz w:val="22"/>
          <w:szCs w:val="22"/>
        </w:rPr>
        <w:t xml:space="preserve">Availability (Disponibilité) : toute requête reçoit une réponse, fût-elle potentiellement obsolète.</w:t>
      </w:r>
    </w:p>
    <w:p>
      <w:pPr>
        <w:pStyle w:val="ListParagraph"/>
        <w:numPr>
          <w:ilvl w:val="0"/>
          <w:numId w:val="2"/>
        </w:numPr>
        <w:spacing w:after="60" w:before="60"/>
      </w:pPr>
      <w:r>
        <w:rPr>
          <w:rFonts w:ascii="Arial" w:cs="Arial" w:eastAsia="Arial" w:hAnsi="Arial"/>
          <w:sz w:val="22"/>
          <w:szCs w:val="22"/>
        </w:rPr>
        <w:t xml:space="preserve">Partition Tolerance (Tolérance au partitionnement réseau) : le système continue de fonctionner malgré la perte de messages entre nœuds.</w:t>
      </w:r>
    </w:p>
    <w:p>
      <w:pPr>
        <w:spacing w:after="100" w:before="100"/>
      </w:pPr>
      <w:r>
        <w:rPr>
          <w:rFonts w:ascii="Arial" w:cs="Arial" w:eastAsia="Arial" w:hAnsi="Arial"/>
          <w:sz w:val="22"/>
          <w:szCs w:val="22"/>
        </w:rPr>
        <w:t xml:space="preserve">Dans le contexte de ce projet, les flux de données sont hétérogènes et justifient des compromis CAP distincts selon leur nature, ce que la persistance polyglotte résout élégamment.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660"/>
        <w:gridCol w:w="2800"/>
      </w:tblGrid>
      <w:tr>
        <w:trPr>
          <w:tblHeader/>
        </w:trPr>
        <w:tc>
          <w:tcPr>
            <w:tcW w:type="dxa" w:w="21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w:t>
            </w:r>
          </w:p>
        </w:tc>
        <w:tc>
          <w:tcPr>
            <w:tcW w:type="dxa" w:w="18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 CAP</w:t>
            </w:r>
          </w:p>
        </w:tc>
        <w:tc>
          <w:tcPr>
            <w:tcW w:type="dxa" w:w="266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Modèle de cohérence</w:t>
            </w:r>
          </w:p>
        </w:tc>
        <w:tc>
          <w:tcPr>
            <w:tcW w:type="dxa" w:w="28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Cas d'usage dans Climat IA</w:t>
            </w:r>
          </w:p>
        </w:tc>
      </w:tr>
      <w:tr>
        <w:trPr>
          <w:tblHeader w:val="false"/>
        </w:trPr>
        <w:tc>
          <w:tcPr>
            <w:tcW w:type="dxa" w:w="21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16</w:t>
            </w:r>
          </w:p>
        </w:tc>
        <w:tc>
          <w:tcPr>
            <w:tcW w:type="dxa" w:w="1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 (Cohérence + Partition)</w:t>
            </w:r>
          </w:p>
        </w:tc>
        <w:tc>
          <w:tcPr>
            <w:tcW w:type="dxa" w:w="26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ACID strict (Atomicité, Cohérence, Isolation, Durabilité)</w:t>
            </w:r>
          </w:p>
        </w:tc>
        <w:tc>
          <w:tcPr>
            <w:tcW w:type="dxa" w:w="2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Profils agronomiques finalisés, scénarios RCP validés, logs d'inférence</w:t>
            </w:r>
          </w:p>
        </w:tc>
      </w:tr>
      <w:tr>
        <w:trPr>
          <w:tblHeader w:val="false"/>
        </w:trPr>
        <w:tc>
          <w:tcPr>
            <w:tcW w:type="dxa" w:w="21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Apache Cassandra 4.1</w:t>
            </w:r>
          </w:p>
        </w:tc>
        <w:tc>
          <w:tcPr>
            <w:tcW w:type="dxa" w:w="1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 (Disponibilité + Partition)</w:t>
            </w:r>
          </w:p>
        </w:tc>
        <w:tc>
          <w:tcPr>
            <w:tcW w:type="dxa" w:w="26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 (Basically Available, Soft state, Eventually consistent)</w:t>
            </w:r>
          </w:p>
        </w:tc>
        <w:tc>
          <w:tcPr>
            <w:tcW w:type="dxa" w:w="2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Séries temporelles brutes des capteurs IoT : températures, pluviométrie, humidité</w:t>
            </w:r>
          </w:p>
        </w:tc>
      </w:tr>
      <w:tr>
        <w:trPr>
          <w:tblHeader w:val="false"/>
        </w:trPr>
        <w:tc>
          <w:tcPr>
            <w:tcW w:type="dxa" w:w="21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7</w:t>
            </w:r>
          </w:p>
        </w:tc>
        <w:tc>
          <w:tcPr>
            <w:tcW w:type="dxa" w:w="1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 (in-memory, single node)</w:t>
            </w:r>
          </w:p>
        </w:tc>
        <w:tc>
          <w:tcPr>
            <w:tcW w:type="dxa" w:w="26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Cache cohérent (TTL 3600s, éviction LRU)</w:t>
            </w:r>
          </w:p>
        </w:tc>
        <w:tc>
          <w:tcPr>
            <w:tcW w:type="dxa" w:w="2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Cache de prédictions K-Means — latence infra-milliseconde pour l'API FastAPI</w:t>
            </w:r>
          </w:p>
        </w:tc>
      </w:tr>
    </w:tbl>
    <w:p>
      <w:pPr>
        <w:spacing w:after="100" w:before="100"/>
      </w:pPr>
    </w:p>
    <w:p>
      <w:pPr>
        <w:pStyle w:val="Heading2"/>
        <w:spacing w:after="140" w:before="280"/>
      </w:pPr>
      <w:r>
        <w:rPr>
          <w:rFonts w:ascii="Arial" w:cs="Arial" w:eastAsia="Arial" w:hAnsi="Arial"/>
          <w:b/>
          <w:bCs/>
          <w:color w:val="1E5C8E"/>
          <w:sz w:val="26"/>
          <w:szCs w:val="26"/>
        </w:rPr>
        <w:t xml:space="preserve">3.2 Justification par la Nature des Données</w:t>
      </w:r>
    </w:p>
    <w:p>
      <w:pPr>
        <w:pStyle w:val="Heading3"/>
        <w:spacing w:after="120" w:before="220"/>
      </w:pPr>
      <w:r>
        <w:rPr>
          <w:rFonts w:ascii="Arial" w:cs="Arial" w:eastAsia="Arial" w:hAnsi="Arial"/>
          <w:b/>
          <w:bCs/>
          <w:color w:val="2C3E50"/>
          <w:sz w:val="24"/>
          <w:szCs w:val="24"/>
        </w:rPr>
        <w:t xml:space="preserve">3.2.1 PostgreSQL — La Cohérence Forte pour les Profils Finalisés</w:t>
      </w:r>
    </w:p>
    <w:p>
      <w:pPr>
        <w:spacing w:after="100" w:before="100"/>
      </w:pPr>
      <w:r>
        <w:rPr>
          <w:rFonts w:ascii="Arial" w:cs="Arial" w:eastAsia="Arial" w:hAnsi="Arial"/>
          <w:sz w:val="22"/>
          <w:szCs w:val="22"/>
        </w:rPr>
        <w:t xml:space="preserve">Les profils de vulnérabilité agronomique produits par le Worker K-Means constituent le résultat scientifiquement validé du pipeline analytique. La cohérence forte (ACID) est non négociable pour ces données : une inférence de l'API FastAPI ne peut se permettre de lire un profil partiellement écrit. PostgreSQL assure cette garantie par son mécanisme MVCC (Multi-Version Concurrency Control), qui isole chaque transaction sans verrou global.</w:t>
      </w:r>
    </w:p>
    <w:p>
      <w:pPr>
        <w:spacing w:after="100" w:before="100"/>
      </w:pPr>
      <w:r>
        <w:rPr>
          <w:rFonts w:ascii="Arial" w:cs="Arial" w:eastAsia="Arial" w:hAnsi="Arial"/>
          <w:sz w:val="22"/>
          <w:szCs w:val="22"/>
        </w:rPr>
        <w:t xml:space="preserve">Le schéma relationnel reflète les contraintes métier des trois systèmes TFE via des types énumérés (systeme_production_type, scenario_rcp_type) et des contraintes CHECK sur les plages physiques valides (température entre -20°C et +60°C, indice de sécheresse entre 0 et 1). Cette modélisation relationnelle garantit l'intégrité référentielle à l'insertion.</w:t>
      </w:r>
    </w:p>
    <w:p>
      <w:pPr>
        <w:pStyle w:val="Heading3"/>
        <w:spacing w:after="120" w:before="220"/>
      </w:pPr>
      <w:r>
        <w:rPr>
          <w:rFonts w:ascii="Arial" w:cs="Arial" w:eastAsia="Arial" w:hAnsi="Arial"/>
          <w:b/>
          <w:bCs/>
          <w:color w:val="2C3E50"/>
          <w:sz w:val="24"/>
          <w:szCs w:val="24"/>
        </w:rPr>
        <w:t xml:space="preserve">3.2.2 Apache Cassandra — Le Stockage Distribué pour les Séries Temporelles</w:t>
      </w:r>
    </w:p>
    <w:p>
      <w:pPr>
        <w:spacing w:after="100" w:before="100"/>
      </w:pPr>
      <w:r>
        <w:rPr>
          <w:rFonts w:ascii="Arial" w:cs="Arial" w:eastAsia="Arial" w:hAnsi="Arial"/>
          <w:sz w:val="22"/>
          <w:szCs w:val="22"/>
        </w:rPr>
        <w:t xml:space="preserve">Les flux de capteurs IoT déployés sur les trois systèmes agricoles génèrent des volumes de données massifs : plusieurs milliers de mesures par jour et par capteur sur des horizons temporels de 54 ans (2045-2099). Ce régime de données — écritures massives, lectures par plage temporelle, tolérance à l'obsolescence courte — correspond précisément au cas d'usage pour lequel Cassandra a été conçu.</w:t>
      </w:r>
    </w:p>
    <w:p>
      <w:pPr>
        <w:spacing w:after="100" w:before="100"/>
      </w:pPr>
      <w:r>
        <w:rPr>
          <w:rFonts w:ascii="Arial" w:cs="Arial" w:eastAsia="Arial" w:hAnsi="Arial"/>
          <w:sz w:val="22"/>
          <w:szCs w:val="22"/>
        </w:rPr>
        <w:t xml:space="preserve">L'architecture masterless en anneau de Cassandra élimine le SPOF (Single Point of Failure) par nature : chaque nœud peut recevoir des lectures et des écritures, la coordinatorat étant déterminé par consistent hashing sur le token ring. Le modèle de données est optimisé pour ce pattern : la clé de partition composite (systeme_production, date_mesure) garantit la co-localisation des données d'une même journée sur le même nœud, tandis que la clé de clustering (heure_mesure DESC) assure l'accès O(1) aux mesures les plus récentes.</w:t>
      </w:r>
    </w:p>
    <w:p>
      <w:pPr>
        <w:spacing w:after="100" w:before="100"/>
      </w:pPr>
      <w:r>
        <w:rPr>
          <w:rFonts w:ascii="Arial" w:cs="Arial" w:eastAsia="Arial" w:hAnsi="Arial"/>
          <w:sz w:val="22"/>
          <w:szCs w:val="22"/>
        </w:rPr>
        <w:t xml:space="preserve">La stratégie de compaction TimeWindowCompactionStrategy (TWCS) est configurée avec une fenêtre de 7 jours, alignée sur le pattern d'écriture : les données arrivent chronologiquement et ne sont que rarement modifiées après ingestion. Cette configuration minimise les opérations de compaction pendant les fenêtres d'insertion intense.</w:t>
      </w:r>
    </w:p>
    <w:p>
      <w:pPr>
        <w:pStyle w:val="Heading3"/>
        <w:spacing w:after="120" w:before="220"/>
      </w:pPr>
      <w:r>
        <w:rPr>
          <w:rFonts w:ascii="Arial" w:cs="Arial" w:eastAsia="Arial" w:hAnsi="Arial"/>
          <w:b/>
          <w:bCs/>
          <w:color w:val="2C3E50"/>
          <w:sz w:val="24"/>
          <w:szCs w:val="24"/>
        </w:rPr>
        <w:t xml:space="preserve">3.2.3 Redis — Le Cache In-Memory pour la Latence Infra-Milliseconde</w:t>
      </w:r>
    </w:p>
    <w:p>
      <w:pPr>
        <w:spacing w:after="100" w:before="100"/>
      </w:pPr>
      <w:r>
        <w:rPr>
          <w:rFonts w:ascii="Arial" w:cs="Arial" w:eastAsia="Arial" w:hAnsi="Arial"/>
          <w:sz w:val="22"/>
          <w:szCs w:val="22"/>
        </w:rPr>
        <w:t xml:space="preserve">L'API FastAPI expose un endpoint /predict consommé par le frontend Streamlit en temps réel. Une requête non cachée implique une interrogation PostgreSQL (latence réseau Docker + I/O disque + exécution SQL), soit typiquement 5 à 20 millisecondes. Redis réduit cette latence à moins d'une milliseconde pour les requêtes en cache, en stockant les prédictions sérialisées en JSON directement en mémoire vive.</w:t>
      </w:r>
    </w:p>
    <w:p>
      <w:pPr>
        <w:spacing w:after="100" w:before="100"/>
      </w:pPr>
      <w:r>
        <w:rPr>
          <w:rFonts w:ascii="Arial" w:cs="Arial" w:eastAsia="Arial" w:hAnsi="Arial"/>
          <w:sz w:val="22"/>
          <w:szCs w:val="22"/>
        </w:rPr>
        <w:t xml:space="preserve">Le pattern cache-aside implémenté dans l'API suit la logique suivante : vérification Redis (GET), Cache HIT → retour immédiat, Cache MISS → interrogation PostgreSQL + écriture Redis (SETEX avec TTL 3600s). La clé Redis est construite avec une granularité climatique intentionnellement grossière (température arrondie à 1°C, pluviométrie à 50mm) afin de maximiser le taux de cache hit pour des conditions climatiques voisines.</w:t>
      </w:r>
    </w:p>
    <w:p>
      <w:pPr>
        <w:pBdr>
          <w:bottom w:val="single" w:color="1E5C8E" w:sz="2" w:space="1"/>
        </w:pBdr>
        <w:spacing w:after="200" w:before="200"/>
      </w:pPr>
    </w:p>
    <w:p>
      <w:pPr>
        <w:pStyle w:val="Heading1"/>
        <w:spacing w:after="200" w:before="360"/>
      </w:pPr>
      <w:r>
        <w:rPr>
          <w:rFonts w:ascii="Arial" w:cs="Arial" w:eastAsia="Arial" w:hAnsi="Arial"/>
          <w:b/>
          <w:bCs/>
          <w:color w:val="1E5C8E"/>
          <w:sz w:val="30"/>
          <w:szCs w:val="30"/>
        </w:rPr>
        <w:t xml:space="preserve">4. Modélisation Métier — Les 3 Systèmes Agricoles</w:t>
      </w:r>
    </w:p>
    <w:p>
      <w:pPr>
        <w:pStyle w:val="Heading2"/>
        <w:spacing w:after="140" w:before="280"/>
      </w:pPr>
      <w:r>
        <w:rPr>
          <w:rFonts w:ascii="Arial" w:cs="Arial" w:eastAsia="Arial" w:hAnsi="Arial"/>
          <w:b/>
          <w:bCs/>
          <w:color w:val="1E5C8E"/>
          <w:sz w:val="26"/>
          <w:szCs w:val="26"/>
        </w:rPr>
        <w:t xml:space="preserve">4.1 Présentation des Systèmes (TFE Delandmeter,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00"/>
        <w:gridCol w:w="1860"/>
      </w:tblGrid>
      <w:tr>
        <w:trPr>
          <w:tblHeader/>
        </w:trPr>
        <w:tc>
          <w:tcPr>
            <w:tcW w:type="dxa" w:w="22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Système Climat IA</w:t>
            </w:r>
          </w:p>
        </w:tc>
        <w:tc>
          <w:tcPr>
            <w:tcW w:type="dxa" w:w="18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 TFE</w:t>
            </w:r>
          </w:p>
        </w:tc>
        <w:tc>
          <w:tcPr>
            <w:tcW w:type="dxa" w:w="35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 agronomique</w:t>
            </w:r>
          </w:p>
        </w:tc>
        <w:tc>
          <w:tcPr>
            <w:tcW w:type="dxa" w:w="186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Résilience hydrique</w:t>
            </w:r>
          </w:p>
        </w:tc>
      </w:tr>
      <w:tr>
        <w:trPr>
          <w:tblHeader w:val="false"/>
        </w:trP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Systeme_Grandes_Cultures</w:t>
            </w:r>
          </w:p>
        </w:tc>
        <w:tc>
          <w:tcPr>
            <w:tcW w:type="dxa" w:w="1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BAU (Business-As-Usual)</w:t>
            </w:r>
          </w:p>
        </w:tc>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Cultures majoritaires en zone limoneuse wallonne. Fumier animal utilisé. Forte dépendance aux intrants externes. Rendement élevé mais fragilité au stress hydrique (RCP 8.5).</w:t>
            </w:r>
          </w:p>
        </w:tc>
        <w:tc>
          <w:tcPr>
            <w:tcW w:type="dxa" w:w="18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Faible</w:t>
            </w:r>
          </w:p>
        </w:tc>
      </w:tr>
      <w:tr>
        <w:trPr>
          <w:tblHeader w:val="false"/>
        </w:trP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Systeme_Polyculture_Elevage</w:t>
            </w:r>
          </w:p>
        </w:tc>
        <w:tc>
          <w:tcPr>
            <w:tcW w:type="dxa" w:w="1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Vegan</w:t>
            </w:r>
          </w:p>
        </w:tc>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Agriculture sans élevage, sans fumier animal. Performances médianes. Faible stockage de carbone organique dans le sol. Autonomie intermédiaire.</w:t>
            </w:r>
          </w:p>
        </w:tc>
        <w:tc>
          <w:tcPr>
            <w:tcW w:type="dxa" w:w="18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Moyenne</w:t>
            </w:r>
          </w:p>
        </w:tc>
      </w:tr>
      <w:tr>
        <w:trPr>
          <w:tblHeader w:val="false"/>
        </w:trP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Systeme_Agroecologique</w:t>
            </w:r>
          </w:p>
        </w:tc>
        <w:tc>
          <w:tcPr>
            <w:tcW w:type="dxa" w:w="18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ICLS (Intégré Cultures-Élevage)</w:t>
            </w:r>
          </w:p>
        </w:tc>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Élevage fonctionnel avec prairies temporaires. Auto-suffisance élevée, forte résistance aux stress hydriques et thermiques. Stockage de carbone très élevé. Résilience confirmée sous RCP 8.5.</w:t>
            </w:r>
          </w:p>
        </w:tc>
        <w:tc>
          <w:tcPr>
            <w:tcW w:type="dxa" w:w="18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Très élevée</w:t>
            </w:r>
          </w:p>
        </w:tc>
      </w:tr>
    </w:tbl>
    <w:p>
      <w:pPr>
        <w:spacing w:after="100" w:before="100"/>
      </w:pPr>
    </w:p>
    <w:p>
      <w:pPr>
        <w:pStyle w:val="Heading2"/>
        <w:spacing w:after="140" w:before="280"/>
      </w:pPr>
      <w:r>
        <w:rPr>
          <w:rFonts w:ascii="Arial" w:cs="Arial" w:eastAsia="Arial" w:hAnsi="Arial"/>
          <w:b/>
          <w:bCs/>
          <w:color w:val="1E5C8E"/>
          <w:sz w:val="26"/>
          <w:szCs w:val="26"/>
        </w:rPr>
        <w:t xml:space="preserve">4.2 Flux de Données Inter-Technologies</w:t>
      </w:r>
    </w:p>
    <w:p>
      <w:pPr>
        <w:spacing w:after="100" w:before="100"/>
      </w:pPr>
      <w:r>
        <w:rPr>
          <w:rFonts w:ascii="Arial" w:cs="Arial" w:eastAsia="Arial" w:hAnsi="Arial"/>
          <w:sz w:val="22"/>
          <w:szCs w:val="22"/>
        </w:rPr>
        <w:t xml:space="preserve">Les données des trois systèmes transitent à travers les trois couches de stockage selon une relation de précédence causale (Lamport, 1978) :</w:t>
      </w:r>
    </w:p>
    <w:p>
      <w:pPr>
        <w:pStyle w:val="ListParagraph"/>
        <w:numPr>
          <w:ilvl w:val="0"/>
          <w:numId w:val="2"/>
        </w:numPr>
        <w:spacing w:after="60" w:before="60"/>
      </w:pPr>
      <w:r>
        <w:rPr>
          <w:rFonts w:ascii="Arial" w:cs="Arial" w:eastAsia="Arial" w:hAnsi="Arial"/>
          <w:sz w:val="22"/>
          <w:szCs w:val="22"/>
        </w:rPr>
        <w:t xml:space="preserve">Couche Cassandra (Ingestion brute) : les capteurs IoT déployés sur chaque parcelle (Grandes Cultures / Polyculture / Agro-écologique) envoient leurs mesures toutes les heures vers la table flux_climatiques_bruts. Le Worker pré-agrège ces mesures en statistiques journalières (agregats_quotidiens) pour optimiser les requêtes batch.</w:t>
      </w:r>
    </w:p>
    <w:p>
      <w:pPr>
        <w:pStyle w:val="ListParagraph"/>
        <w:numPr>
          <w:ilvl w:val="0"/>
          <w:numId w:val="2"/>
        </w:numPr>
        <w:spacing w:after="60" w:before="60"/>
      </w:pPr>
      <w:r>
        <w:rPr>
          <w:rFonts w:ascii="Arial" w:cs="Arial" w:eastAsia="Arial" w:hAnsi="Arial"/>
          <w:sz w:val="22"/>
          <w:szCs w:val="22"/>
        </w:rPr>
        <w:t xml:space="preserve">Couche Worker K-Means (Transformation) : le Worker lit les agrégats depuis Cassandra, exclut strictement toute variable de type 'target', applique une normalisation Z-score et exécute K-Means (k=4). Les profils de vulnérabilité émergent comme propriétés post-clustering.</w:t>
      </w:r>
    </w:p>
    <w:p>
      <w:pPr>
        <w:pStyle w:val="ListParagraph"/>
        <w:numPr>
          <w:ilvl w:val="0"/>
          <w:numId w:val="2"/>
        </w:numPr>
        <w:spacing w:after="60" w:before="60"/>
      </w:pPr>
      <w:r>
        <w:rPr>
          <w:rFonts w:ascii="Arial" w:cs="Arial" w:eastAsia="Arial" w:hAnsi="Arial"/>
          <w:sz w:val="22"/>
          <w:szCs w:val="22"/>
        </w:rPr>
        <w:t xml:space="preserve">Couche PostgreSQL (Vérité finalisée) : les profils validés sont écrits dans la table profils_agronomiques avec la contrainte d'idempotence ON CONFLICT DO UPDATE. L'API y accède pour les Cache Miss.</w:t>
      </w:r>
    </w:p>
    <w:p>
      <w:pPr>
        <w:pStyle w:val="ListParagraph"/>
        <w:numPr>
          <w:ilvl w:val="0"/>
          <w:numId w:val="2"/>
        </w:numPr>
        <w:spacing w:after="60" w:before="60"/>
      </w:pPr>
      <w:r>
        <w:rPr>
          <w:rFonts w:ascii="Arial" w:cs="Arial" w:eastAsia="Arial" w:hAnsi="Arial"/>
          <w:sz w:val="22"/>
          <w:szCs w:val="22"/>
        </w:rPr>
        <w:t xml:space="preserve">Couche Redis (Accélération) : les résultats de prédiction sont mis en cache avec un TTL de 3600 secondes, déchargeant PostgreSQL des requêtes répétitives pour des conditions climatiques similaires.</w:t>
      </w:r>
    </w:p>
    <w:p>
      <w:pPr>
        <w:pStyle w:val="Heading2"/>
        <w:spacing w:after="140" w:before="280"/>
      </w:pPr>
      <w:r>
        <w:rPr>
          <w:rFonts w:ascii="Arial" w:cs="Arial" w:eastAsia="Arial" w:hAnsi="Arial"/>
          <w:b/>
          <w:bCs/>
          <w:color w:val="1E5C8E"/>
          <w:sz w:val="26"/>
          <w:szCs w:val="26"/>
        </w:rPr>
        <w:t xml:space="preserve">4.3 Les 4 Profils de Vulnérabilité Agronomique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60"/>
        <w:gridCol w:w="2000"/>
        <w:gridCol w:w="2700"/>
      </w:tblGrid>
      <w:tr>
        <w:trPr>
          <w:tblHeader/>
        </w:trPr>
        <w:tc>
          <w:tcPr>
            <w:tcW w:type="dxa" w:w="9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Cluster</w:t>
            </w:r>
          </w:p>
        </w:tc>
        <w:tc>
          <w:tcPr>
            <w:tcW w:type="dxa" w:w="22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 Climatique</w:t>
            </w:r>
          </w:p>
        </w:tc>
        <w:tc>
          <w:tcPr>
            <w:tcW w:type="dxa" w:w="156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T°C (moy.)</w:t>
            </w:r>
          </w:p>
        </w:tc>
        <w:tc>
          <w:tcPr>
            <w:tcW w:type="dxa" w:w="20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Rendement</w:t>
            </w:r>
          </w:p>
        </w:tc>
        <w:tc>
          <w:tcPr>
            <w:tcW w:type="dxa" w:w="27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Systèmes concernés</w:t>
            </w:r>
          </w:p>
        </w:tc>
      </w:tr>
      <w:tr>
        <w:trPr>
          <w:tblHeader w:val="false"/>
        </w:trPr>
        <w:tc>
          <w:tcPr>
            <w:tcW w:type="dxa" w:w="9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Tropical humide</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27°C ± 2,5</w:t>
            </w:r>
          </w:p>
        </w:tc>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+12,5% HAUSSE</w:t>
            </w:r>
          </w:p>
        </w:tc>
        <w:tc>
          <w:tcPr>
            <w:tcW w:type="dxa" w:w="27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Systeme_Agroecologique (RCP 4.5)</w:t>
            </w:r>
          </w:p>
        </w:tc>
      </w:tr>
      <w:tr>
        <w:trPr>
          <w:tblHeader w:val="false"/>
        </w:trPr>
        <w:tc>
          <w:tcPr>
            <w:tcW w:type="dxa" w:w="9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Aride chaud (Sahel)</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36°C ± 3,0</w:t>
            </w:r>
          </w:p>
        </w:tc>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-38,0% CRITIQUE</w:t>
            </w:r>
          </w:p>
        </w:tc>
        <w:tc>
          <w:tcPr>
            <w:tcW w:type="dxa" w:w="27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Systeme_Grandes_Cultures (RCP 8.5)</w:t>
            </w:r>
          </w:p>
        </w:tc>
      </w:tr>
      <w:tr>
        <w:trPr>
          <w:tblHeader w:val="false"/>
        </w:trPr>
        <w:tc>
          <w:tcPr>
            <w:tcW w:type="dxa" w:w="9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Tempéré méditerranéen</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16°C ± 2,0</w:t>
            </w:r>
          </w:p>
        </w:tc>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STABLE</w:t>
            </w:r>
          </w:p>
        </w:tc>
        <w:tc>
          <w:tcPr>
            <w:tcW w:type="dxa" w:w="27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Tous systèmes (RCP 4.5 modéré)</w:t>
            </w:r>
          </w:p>
        </w:tc>
      </w:tr>
      <w:tr>
        <w:trPr>
          <w:tblHeader w:val="false"/>
        </w:trPr>
        <w:tc>
          <w:tcPr>
            <w:tcW w:type="dxa" w:w="9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Semi-aride transitoire</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29°C ± 2,8</w:t>
            </w:r>
          </w:p>
        </w:tc>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-18,5% BAISSE</w:t>
            </w:r>
          </w:p>
        </w:tc>
        <w:tc>
          <w:tcPr>
            <w:tcW w:type="dxa" w:w="27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Systeme_Polyculture_Elevage (RCP 8.5)</w:t>
            </w:r>
          </w:p>
        </w:tc>
      </w:tr>
    </w:tbl>
    <w:p>
      <w:pPr>
        <w:pBdr>
          <w:bottom w:val="single" w:color="1E5C8E" w:sz="2" w:space="1"/>
        </w:pBdr>
        <w:spacing w:after="200" w:before="200"/>
      </w:pPr>
    </w:p>
    <w:p>
      <w:pPr>
        <w:pStyle w:val="Heading1"/>
        <w:spacing w:after="200" w:before="360"/>
      </w:pPr>
      <w:r>
        <w:rPr>
          <w:rFonts w:ascii="Arial" w:cs="Arial" w:eastAsia="Arial" w:hAnsi="Arial"/>
          <w:b/>
          <w:bCs/>
          <w:color w:val="1E5C8E"/>
          <w:sz w:val="30"/>
          <w:szCs w:val="30"/>
        </w:rPr>
        <w:t xml:space="preserve">5. Résilience et Haute Disponibilité</w:t>
      </w:r>
    </w:p>
    <w:p>
      <w:pPr>
        <w:pStyle w:val="Heading2"/>
        <w:spacing w:after="140" w:before="280"/>
      </w:pPr>
      <w:r>
        <w:rPr>
          <w:rFonts w:ascii="Arial" w:cs="Arial" w:eastAsia="Arial" w:hAnsi="Arial"/>
          <w:b/>
          <w:bCs/>
          <w:color w:val="1E5C8E"/>
          <w:sz w:val="26"/>
          <w:szCs w:val="26"/>
        </w:rPr>
        <w:t xml:space="preserve">5.1 Comportement en cas de Panne Redis (Dégradation Gracieuse)</w:t>
      </w:r>
    </w:p>
    <w:p>
      <w:pPr>
        <w:spacing w:after="100" w:before="100"/>
      </w:pPr>
      <w:r>
        <w:rPr>
          <w:rFonts w:ascii="Arial" w:cs="Arial" w:eastAsia="Arial" w:hAnsi="Arial"/>
          <w:sz w:val="22"/>
          <w:szCs w:val="22"/>
        </w:rPr>
        <w:t xml:space="preserve">Redis est conçu comme composant optionnel dans l'architecture. Une panne du cache Redis n'est pas une défaillance fatale mais un état de dégradation gracieuse (graceful degradation). Le code de l'API implémente ce principe explicitement : toute exception levée lors d'une opération Redis (GET ou SETEX) est capturée silencieusement, et la requête est servie directement depuis PostgreSQL.</w:t>
      </w:r>
    </w:p>
    <w:p>
      <w:pPr>
        <w:spacing w:after="100" w:before="100"/>
      </w:pPr>
      <w:r>
        <w:rPr>
          <w:rFonts w:ascii="Arial" w:cs="Arial" w:eastAsia="Arial" w:hAnsi="Arial"/>
          <w:sz w:val="22"/>
          <w:szCs w:val="22"/>
        </w:rPr>
        <w:t xml:space="preserve">L'impact opérationnel d'une panne Redis est une augmentation de la latence de réponse (de &lt; 1ms à ~10-20ms) et une charge accrue sur PostgreSQL, sans interruption de service. Cette propriété découle du pattern cache-aside : Redis est une optimisation, pas une source de vérité. La source de vérité reste PostgreSQL.</w:t>
      </w:r>
    </w:p>
    <w:p>
      <w:pPr>
        <w:spacing w:after="100" w:before="100"/>
      </w:pPr>
      <w:r>
        <w:rPr>
          <w:rFonts w:ascii="Arial" w:cs="Arial" w:eastAsia="Arial" w:hAnsi="Arial"/>
          <w:sz w:val="22"/>
          <w:szCs w:val="22"/>
        </w:rPr>
        <w:t xml:space="preserve">Le script deploy_guide.sh inclut un test de chaos engineering (commande chaos-redis) qui simule ce scénario : arrêt du conteneur cache_redis, vérification que l'API répond toujours avec HTTP 200, puis résurrection du cache.</w:t>
      </w:r>
    </w:p>
    <w:p>
      <w:pPr>
        <w:pStyle w:val="Heading2"/>
        <w:spacing w:after="140" w:before="280"/>
      </w:pPr>
      <w:r>
        <w:rPr>
          <w:rFonts w:ascii="Arial" w:cs="Arial" w:eastAsia="Arial" w:hAnsi="Arial"/>
          <w:b/>
          <w:bCs/>
          <w:color w:val="1E5C8E"/>
          <w:sz w:val="26"/>
          <w:szCs w:val="26"/>
        </w:rPr>
        <w:t xml:space="preserve">5.2 Comportement en cas de Panne d'un Nœud Cassandra</w:t>
      </w:r>
    </w:p>
    <w:p>
      <w:pPr>
        <w:spacing w:after="100" w:before="100"/>
      </w:pPr>
      <w:r>
        <w:rPr>
          <w:rFonts w:ascii="Arial" w:cs="Arial" w:eastAsia="Arial" w:hAnsi="Arial"/>
          <w:sz w:val="22"/>
          <w:szCs w:val="22"/>
        </w:rPr>
        <w:t xml:space="preserve">En configuration de production (Replication Factor = 3), la panne d'un nœud Cassandra n'interrompt pas le service grâce à la propriété de disponibilité (A) du modèle AP. Le coordinateur redirige automatiquement les requêtes vers les nœuds répliquant les mêmes données. Le niveau de cohérence QUORUM (majorité simple) garantit la lecture de la valeur la plus récente confirmée par au moins 2 nœuds sur 3.</w:t>
      </w:r>
    </w:p>
    <w:p>
      <w:pPr>
        <w:spacing w:after="100" w:before="100"/>
      </w:pPr>
      <w:r>
        <w:rPr>
          <w:rFonts w:ascii="Arial" w:cs="Arial" w:eastAsia="Arial" w:hAnsi="Arial"/>
          <w:sz w:val="22"/>
          <w:szCs w:val="22"/>
        </w:rPr>
        <w:t xml:space="preserve">Dans la configuration de développement présentée (RF=1, nœud unique), une panne Cassandra suspend uniquement l'ingestion de nouvelles données brutes et l'exécution du Worker batch. L'API FastAPI continue de servir les prédictions depuis les profils déjà calculés dans PostgreSQL.</w:t>
      </w:r>
    </w:p>
    <w:p>
      <w:pPr>
        <w:spacing w:after="100" w:before="100"/>
      </w:pPr>
      <w:r>
        <w:rPr>
          <w:rFonts w:ascii="Arial" w:cs="Arial" w:eastAsia="Arial" w:hAnsi="Arial"/>
          <w:sz w:val="22"/>
          <w:szCs w:val="22"/>
        </w:rPr>
        <w:t xml:space="preserve">La politique restart: unless-stopped appliquée à nosql_cassandra dans docker-compose.yml garantit la vivacité (liveness) du système au sens de la théorie des systèmes distribués (SR1) : absence d'interblocage persistant et rétablissement automatique sans intervention humaine.</w:t>
      </w:r>
    </w:p>
    <w:p>
      <w:pPr>
        <w:pStyle w:val="Heading2"/>
        <w:spacing w:after="140" w:before="280"/>
      </w:pPr>
      <w:r>
        <w:rPr>
          <w:rFonts w:ascii="Arial" w:cs="Arial" w:eastAsia="Arial" w:hAnsi="Arial"/>
          <w:b/>
          <w:bCs/>
          <w:color w:val="1E5C8E"/>
          <w:sz w:val="26"/>
          <w:szCs w:val="26"/>
        </w:rPr>
        <w:t xml:space="preserve">5.3 Comportement en cas de Panne PostgreSQL</w:t>
      </w:r>
    </w:p>
    <w:p>
      <w:pPr>
        <w:spacing w:after="100" w:before="100"/>
      </w:pPr>
      <w:r>
        <w:rPr>
          <w:rFonts w:ascii="Arial" w:cs="Arial" w:eastAsia="Arial" w:hAnsi="Arial"/>
          <w:sz w:val="22"/>
          <w:szCs w:val="22"/>
        </w:rPr>
        <w:t xml:space="preserve">La panne de PostgreSQL est le scénario le plus critique pour l'API, car il n'existe pas de fallback pour les Cache Miss. L'API retourne HTTP 503 (Service Unavailable) pour les nouvelles requêtes non cachées, tandis que les requêtes avec Cache Hit Redis continuent d'être servies normalement.</w:t>
      </w:r>
    </w:p>
    <w:p>
      <w:pPr>
        <w:spacing w:after="100" w:before="100"/>
      </w:pPr>
      <w:r>
        <w:rPr>
          <w:rFonts w:ascii="Arial" w:cs="Arial" w:eastAsia="Arial" w:hAnsi="Arial"/>
          <w:sz w:val="22"/>
          <w:szCs w:val="22"/>
        </w:rPr>
        <w:t xml:space="preserve">La persistance des données est garantie par le volume Docker nommé postgres_data_vol, physiquement stocké sur le système de fichiers hôte (/var/lib/docker/volumes/postgres_data_vol/_data). Ce découplage entre le cycle de vie du conteneur et le stockage des données est la propriété fondamentale qui rend le système tolérant aux pannes de nœud : la destruction et la recréation du conteneur PostgreSQL ne provoquent aucune perte de données.</w:t>
      </w:r>
    </w:p>
    <w:p>
      <w:pPr>
        <w:spacing w:after="100" w:before="100"/>
      </w:pPr>
      <w:r>
        <w:rPr>
          <w:rFonts w:ascii="Arial" w:cs="Arial" w:eastAsia="Arial" w:hAnsi="Arial"/>
          <w:sz w:val="22"/>
          <w:szCs w:val="22"/>
        </w:rPr>
        <w:t xml:space="preserve">Le script deploy_guide.sh documente ce protocole de crash-test en 4 phases (chaos-postgres) : vérification de l'état initial, destruction du conteneur (sans suppression du volume), résurrection, et attestation de l'intégrité du nombre de profils.</w:t>
      </w:r>
    </w:p>
    <w:p>
      <w:pPr>
        <w:pBdr>
          <w:bottom w:val="single" w:color="1E5C8E" w:sz="2" w:space="1"/>
        </w:pBdr>
        <w:spacing w:after="200" w:before="200"/>
      </w:pPr>
    </w:p>
    <w:p>
      <w:pPr>
        <w:pStyle w:val="Heading1"/>
        <w:spacing w:after="200" w:before="360"/>
      </w:pPr>
      <w:r>
        <w:rPr>
          <w:rFonts w:ascii="Arial" w:cs="Arial" w:eastAsia="Arial" w:hAnsi="Arial"/>
          <w:b/>
          <w:bCs/>
          <w:color w:val="1E5C8E"/>
          <w:sz w:val="30"/>
          <w:szCs w:val="30"/>
        </w:rPr>
        <w:t xml:space="preserve">6. Quick Start</w:t>
      </w:r>
    </w:p>
    <w:p>
      <w:pPr>
        <w:pStyle w:val="Heading2"/>
        <w:spacing w:after="140" w:before="280"/>
      </w:pPr>
      <w:r>
        <w:rPr>
          <w:rFonts w:ascii="Arial" w:cs="Arial" w:eastAsia="Arial" w:hAnsi="Arial"/>
          <w:b/>
          <w:bCs/>
          <w:color w:val="1E5C8E"/>
          <w:sz w:val="26"/>
          <w:szCs w:val="26"/>
        </w:rPr>
        <w:t xml:space="preserve">6.1 Prérequis</w:t>
      </w:r>
    </w:p>
    <w:p>
      <w:pPr>
        <w:pStyle w:val="ListParagraph"/>
        <w:numPr>
          <w:ilvl w:val="0"/>
          <w:numId w:val="2"/>
        </w:numPr>
        <w:spacing w:after="60" w:before="60"/>
      </w:pPr>
      <w:r>
        <w:rPr>
          <w:rFonts w:ascii="Arial" w:cs="Arial" w:eastAsia="Arial" w:hAnsi="Arial"/>
          <w:sz w:val="22"/>
          <w:szCs w:val="22"/>
        </w:rPr>
        <w:t xml:space="preserve">Docker Engine &gt;= 24.0</w:t>
      </w:r>
    </w:p>
    <w:p>
      <w:pPr>
        <w:pStyle w:val="ListParagraph"/>
        <w:numPr>
          <w:ilvl w:val="0"/>
          <w:numId w:val="2"/>
        </w:numPr>
        <w:spacing w:after="60" w:before="60"/>
      </w:pPr>
      <w:r>
        <w:rPr>
          <w:rFonts w:ascii="Arial" w:cs="Arial" w:eastAsia="Arial" w:hAnsi="Arial"/>
          <w:sz w:val="22"/>
          <w:szCs w:val="22"/>
        </w:rPr>
        <w:t xml:space="preserve">Docker Compose v2 &gt;= 2.20</w:t>
      </w:r>
    </w:p>
    <w:p>
      <w:pPr>
        <w:pStyle w:val="ListParagraph"/>
        <w:numPr>
          <w:ilvl w:val="0"/>
          <w:numId w:val="2"/>
        </w:numPr>
        <w:spacing w:after="60" w:before="60"/>
      </w:pPr>
      <w:r>
        <w:rPr>
          <w:rFonts w:ascii="Arial" w:cs="Arial" w:eastAsia="Arial" w:hAnsi="Arial"/>
          <w:sz w:val="22"/>
          <w:szCs w:val="22"/>
        </w:rPr>
        <w:t xml:space="preserve">RAM disponible : &gt;= 4 Go (Cassandra est gourmand)</w:t>
      </w:r>
    </w:p>
    <w:p>
      <w:pPr>
        <w:pStyle w:val="ListParagraph"/>
        <w:numPr>
          <w:ilvl w:val="0"/>
          <w:numId w:val="2"/>
        </w:numPr>
        <w:spacing w:after="60" w:before="60"/>
      </w:pPr>
      <w:r>
        <w:rPr>
          <w:rFonts w:ascii="Arial" w:cs="Arial" w:eastAsia="Arial" w:hAnsi="Arial"/>
          <w:sz w:val="22"/>
          <w:szCs w:val="22"/>
        </w:rPr>
        <w:t xml:space="preserve">Espace disque : &gt;= 5 Go</w:t>
      </w:r>
    </w:p>
    <w:p>
      <w:pPr>
        <w:pStyle w:val="Heading2"/>
        <w:spacing w:after="140" w:before="280"/>
      </w:pPr>
      <w:r>
        <w:rPr>
          <w:rFonts w:ascii="Arial" w:cs="Arial" w:eastAsia="Arial" w:hAnsi="Arial"/>
          <w:b/>
          <w:bCs/>
          <w:color w:val="1E5C8E"/>
          <w:sz w:val="26"/>
          <w:szCs w:val="26"/>
        </w:rPr>
        <w:t xml:space="preserve">6.2 Déploiement en une commande</w:t>
      </w:r>
    </w:p>
    <w:p>
      <w:pPr>
        <w:shd w:fill="1E1E2E" w:val="clear"/>
        <w:spacing w:after="80" w:before="80"/>
        <w:ind w:left="360" w:right="360"/>
      </w:pPr>
      <w:r>
        <w:rPr>
          <w:rFonts w:ascii="Courier New" w:cs="Courier New" w:eastAsia="Courier New" w:hAnsi="Courier New"/>
          <w:color w:val="A6E22E"/>
          <w:sz w:val="18"/>
          <w:szCs w:val="18"/>
        </w:rPr>
        <w:t xml:space="preserve">cd backend/</w:t>
      </w:r>
    </w:p>
    <w:p>
      <w:pPr>
        <w:shd w:fill="1E1E2E" w:val="clear"/>
        <w:spacing w:after="80" w:before="80"/>
        <w:ind w:left="360" w:right="360"/>
      </w:pPr>
      <w:r>
        <w:rPr>
          <w:rFonts w:ascii="Courier New" w:cs="Courier New" w:eastAsia="Courier New" w:hAnsi="Courier New"/>
          <w:color w:val="A6E22E"/>
          <w:sz w:val="18"/>
          <w:szCs w:val="18"/>
        </w:rPr>
        <w:t xml:space="preserve">cp .env.example .env   # Éditez les mots de passe avant de continuer</w:t>
      </w:r>
    </w:p>
    <w:p>
      <w:pPr>
        <w:shd w:fill="1E1E2E" w:val="clear"/>
        <w:spacing w:after="80" w:before="80"/>
        <w:ind w:left="360" w:right="360"/>
      </w:pPr>
      <w:r>
        <w:rPr>
          <w:rFonts w:ascii="Courier New" w:cs="Courier New" w:eastAsia="Courier New" w:hAnsi="Courier New"/>
          <w:color w:val="A6E22E"/>
          <w:sz w:val="18"/>
          <w:szCs w:val="18"/>
        </w:rPr>
        <w:t xml:space="preserve">chmod +x deploy_guide.sh</w:t>
      </w:r>
    </w:p>
    <w:p>
      <w:pPr>
        <w:shd w:fill="1E1E2E" w:val="clear"/>
        <w:spacing w:after="80" w:before="80"/>
        <w:ind w:left="360" w:right="360"/>
      </w:pPr>
      <w:r>
        <w:rPr>
          <w:rFonts w:ascii="Courier New" w:cs="Courier New" w:eastAsia="Courier New" w:hAnsi="Courier New"/>
          <w:color w:val="A6E22E"/>
          <w:sz w:val="18"/>
          <w:szCs w:val="18"/>
        </w:rPr>
        <w:t xml:space="preserve">./deploy_guide.sh all  # deploy + worker + test</w:t>
      </w:r>
    </w:p>
    <w:p>
      <w:pPr>
        <w:pStyle w:val="Heading2"/>
        <w:spacing w:after="140" w:before="280"/>
      </w:pPr>
      <w:r>
        <w:rPr>
          <w:rFonts w:ascii="Arial" w:cs="Arial" w:eastAsia="Arial" w:hAnsi="Arial"/>
          <w:b/>
          <w:bCs/>
          <w:color w:val="1E5C8E"/>
          <w:sz w:val="26"/>
          <w:szCs w:val="26"/>
        </w:rPr>
        <w:t xml:space="preserve">6.3 Commandes individuelles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Commande</w:t>
            </w:r>
          </w:p>
        </w:tc>
        <w:tc>
          <w:tcPr>
            <w:tcW w:type="dxa" w:w="586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rPr>
          <w:tblHeader w:val="false"/>
        </w:trPr>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./deploy_guide.sh deploy</w:t>
            </w:r>
          </w:p>
        </w:tc>
        <w:tc>
          <w:tcPr>
            <w:tcW w:type="dxa" w:w="58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Déploie la stack complète (Postgres + Cassandra + Redis + API + NGINX)</w:t>
            </w:r>
          </w:p>
        </w:tc>
      </w:tr>
      <w:tr>
        <w:trPr>
          <w:tblHeader w:val="false"/>
        </w:trPr>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./deploy_guide.sh worker</w:t>
            </w:r>
          </w:p>
        </w:tc>
        <w:tc>
          <w:tcPr>
            <w:tcW w:type="dxa" w:w="58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Exécute le pipeline K-Means (Cassandra → PostgreSQL)</w:t>
            </w:r>
          </w:p>
        </w:tc>
      </w:tr>
      <w:tr>
        <w:trPr>
          <w:tblHeader w:val="false"/>
        </w:trPr>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./deploy_guide.sh test</w:t>
            </w:r>
          </w:p>
        </w:tc>
        <w:tc>
          <w:tcPr>
            <w:tcW w:type="dxa" w:w="58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Teste l'API avec vérification du cache Redis (MISS puis HIT)</w:t>
            </w:r>
          </w:p>
        </w:tc>
      </w:tr>
      <w:tr>
        <w:trPr>
          <w:tblHeader w:val="false"/>
        </w:trPr>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./deploy_guide.sh chaos-redis</w:t>
            </w:r>
          </w:p>
        </w:tc>
        <w:tc>
          <w:tcPr>
            <w:tcW w:type="dxa" w:w="58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Simule une panne Redis — vérifie la dégradation gracieuse de l'API</w:t>
            </w:r>
          </w:p>
        </w:tc>
      </w:tr>
      <w:tr>
        <w:trPr>
          <w:tblHeader w:val="false"/>
        </w:trPr>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./deploy_guide.sh chaos-postgres</w:t>
            </w:r>
          </w:p>
        </w:tc>
        <w:tc>
          <w:tcPr>
            <w:tcW w:type="dxa" w:w="58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Simule une panne PostgreSQL — vérifie l'intégrité du volume</w:t>
            </w:r>
          </w:p>
        </w:tc>
      </w:tr>
      <w:tr>
        <w:trPr>
          <w:tblHeader w:val="false"/>
        </w:trPr>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./deploy_guide.sh inspect</w:t>
            </w:r>
          </w:p>
        </w:tc>
        <w:tc>
          <w:tcPr>
            <w:tcW w:type="dxa" w:w="58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Affiche l'état complet : nodetool Cassandra, Redis memory, tables PG</w:t>
            </w:r>
          </w:p>
        </w:tc>
      </w:tr>
      <w:tr>
        <w:trPr>
          <w:tblHeader w:val="false"/>
        </w:trPr>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./deploy_guide.sh stop</w:t>
            </w:r>
          </w:p>
        </w:tc>
        <w:tc>
          <w:tcPr>
            <w:tcW w:type="dxa" w:w="58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Arrêt propre (les volumes sont préservés)</w:t>
            </w:r>
          </w:p>
        </w:tc>
      </w:tr>
    </w:tbl>
    <w:p>
      <w:pPr>
        <w:spacing w:after="100" w:before="100"/>
      </w:pPr>
    </w:p>
    <w:p>
      <w:pPr>
        <w:pStyle w:val="Heading2"/>
        <w:spacing w:after="140" w:before="280"/>
      </w:pPr>
      <w:r>
        <w:rPr>
          <w:rFonts w:ascii="Arial" w:cs="Arial" w:eastAsia="Arial" w:hAnsi="Arial"/>
          <w:b/>
          <w:bCs/>
          <w:color w:val="1E5C8E"/>
          <w:sz w:val="26"/>
          <w:szCs w:val="26"/>
        </w:rPr>
        <w:t xml:space="preserve">6.4 Endpoints disponibles</w:t>
      </w:r>
    </w:p>
    <w:p>
      <w:pPr>
        <w:shd w:fill="1E1E2E" w:val="clear"/>
        <w:spacing w:after="80" w:before="80"/>
        <w:ind w:left="360" w:right="360"/>
      </w:pPr>
      <w:r>
        <w:rPr>
          <w:rFonts w:ascii="Courier New" w:cs="Courier New" w:eastAsia="Courier New" w:hAnsi="Courier New"/>
          <w:color w:val="A6E22E"/>
          <w:sz w:val="18"/>
          <w:szCs w:val="18"/>
        </w:rPr>
        <w:t xml:space="preserve">Interface Streamlit    : http://localhost/app/</w:t>
      </w:r>
    </w:p>
    <w:p>
      <w:pPr>
        <w:shd w:fill="1E1E2E" w:val="clear"/>
        <w:spacing w:after="80" w:before="80"/>
        <w:ind w:left="360" w:right="360"/>
      </w:pPr>
      <w:r>
        <w:rPr>
          <w:rFonts w:ascii="Courier New" w:cs="Courier New" w:eastAsia="Courier New" w:hAnsi="Courier New"/>
          <w:color w:val="A6E22E"/>
          <w:sz w:val="18"/>
          <w:szCs w:val="18"/>
        </w:rPr>
        <w:t xml:space="preserve">API FastAPI (docs)     : http://localhost/api/docs</w:t>
      </w:r>
    </w:p>
    <w:p>
      <w:pPr>
        <w:shd w:fill="1E1E2E" w:val="clear"/>
        <w:spacing w:after="80" w:before="80"/>
        <w:ind w:left="360" w:right="360"/>
      </w:pPr>
      <w:r>
        <w:rPr>
          <w:rFonts w:ascii="Courier New" w:cs="Courier New" w:eastAsia="Courier New" w:hAnsi="Courier New"/>
          <w:color w:val="A6E22E"/>
          <w:sz w:val="18"/>
          <w:szCs w:val="18"/>
        </w:rPr>
        <w:t xml:space="preserve">Health check           : http://localhost/api/health</w:t>
      </w:r>
    </w:p>
    <w:p>
      <w:pPr>
        <w:shd w:fill="1E1E2E" w:val="clear"/>
        <w:spacing w:after="80" w:before="80"/>
        <w:ind w:left="360" w:right="360"/>
      </w:pPr>
      <w:r>
        <w:rPr>
          <w:rFonts w:ascii="Courier New" w:cs="Courier New" w:eastAsia="Courier New" w:hAnsi="Courier New"/>
          <w:color w:val="A6E22E"/>
          <w:sz w:val="18"/>
          <w:szCs w:val="18"/>
        </w:rPr>
        <w:t xml:space="preserve">Prédiction (POST)      : http://localhost/api/predict</w:t>
      </w:r>
    </w:p>
    <w:p>
      <w:pPr>
        <w:shd w:fill="1E1E2E" w:val="clear"/>
        <w:spacing w:after="80" w:before="80"/>
        <w:ind w:left="360" w:right="360"/>
      </w:pPr>
      <w:r>
        <w:rPr>
          <w:rFonts w:ascii="Courier New" w:cs="Courier New" w:eastAsia="Courier New" w:hAnsi="Courier New"/>
          <w:color w:val="A6E22E"/>
          <w:sz w:val="18"/>
          <w:szCs w:val="18"/>
        </w:rPr>
        <w:t xml:space="preserve">Profils (GET)          : http://localhost/api/profils</w:t>
      </w:r>
    </w:p>
    <w:p>
      <w:pPr>
        <w:pStyle w:val="Heading2"/>
        <w:spacing w:after="140" w:before="280"/>
      </w:pPr>
      <w:r>
        <w:rPr>
          <w:rFonts w:ascii="Arial" w:cs="Arial" w:eastAsia="Arial" w:hAnsi="Arial"/>
          <w:b/>
          <w:bCs/>
          <w:color w:val="1E5C8E"/>
          <w:sz w:val="26"/>
          <w:szCs w:val="26"/>
        </w:rPr>
        <w:t xml:space="preserve">6.5 Exemple de requête /predict (curl)</w:t>
      </w:r>
    </w:p>
    <w:p>
      <w:pPr>
        <w:shd w:fill="1E1E2E" w:val="clear"/>
        <w:spacing w:after="80" w:before="80"/>
        <w:ind w:left="360" w:right="360"/>
      </w:pPr>
      <w:r>
        <w:rPr>
          <w:rFonts w:ascii="Courier New" w:cs="Courier New" w:eastAsia="Courier New" w:hAnsi="Courier New"/>
          <w:color w:val="A6E22E"/>
          <w:sz w:val="18"/>
          <w:szCs w:val="18"/>
        </w:rPr>
        <w:t xml:space="preserve">curl -X POST http://localhost/api/predict \</w:t>
      </w:r>
    </w:p>
    <w:p>
      <w:pPr>
        <w:shd w:fill="1E1E2E" w:val="clear"/>
        <w:spacing w:after="80" w:before="80"/>
        <w:ind w:left="360" w:right="360"/>
      </w:pPr>
      <w:r>
        <w:rPr>
          <w:rFonts w:ascii="Courier New" w:cs="Courier New" w:eastAsia="Courier New" w:hAnsi="Courier New"/>
          <w:color w:val="A6E22E"/>
          <w:sz w:val="18"/>
          <w:szCs w:val="18"/>
        </w:rPr>
        <w:t xml:space="preserve">  -H "Content-Type: application/json" \</w:t>
      </w:r>
    </w:p>
    <w:p>
      <w:pPr>
        <w:shd w:fill="1E1E2E" w:val="clear"/>
        <w:spacing w:after="80" w:before="80"/>
        <w:ind w:left="360" w:right="360"/>
      </w:pPr>
      <w:r>
        <w:rPr>
          <w:rFonts w:ascii="Courier New" w:cs="Courier New" w:eastAsia="Courier New" w:hAnsi="Courier New"/>
          <w:color w:val="A6E22E"/>
          <w:sz w:val="18"/>
          <w:szCs w:val="18"/>
        </w:rPr>
        <w:t xml:space="preserve">  -d '{"systeme_production":"Systeme_Agroecologique",</w:t>
      </w:r>
    </w:p>
    <w:p>
      <w:pPr>
        <w:shd w:fill="1E1E2E" w:val="clear"/>
        <w:spacing w:after="80" w:before="80"/>
        <w:ind w:left="360" w:right="360"/>
      </w:pPr>
      <w:r>
        <w:rPr>
          <w:rFonts w:ascii="Courier New" w:cs="Courier New" w:eastAsia="Courier New" w:hAnsi="Courier New"/>
          <w:color w:val="A6E22E"/>
          <w:sz w:val="18"/>
          <w:szCs w:val="18"/>
        </w:rPr>
        <w:t xml:space="preserve">       "scenario_rcp":"RCP_8.5",</w:t>
      </w:r>
    </w:p>
    <w:p>
      <w:pPr>
        <w:shd w:fill="1E1E2E" w:val="clear"/>
        <w:spacing w:after="80" w:before="80"/>
        <w:ind w:left="360" w:right="360"/>
      </w:pPr>
      <w:r>
        <w:rPr>
          <w:rFonts w:ascii="Courier New" w:cs="Courier New" w:eastAsia="Courier New" w:hAnsi="Courier New"/>
          <w:color w:val="A6E22E"/>
          <w:sz w:val="18"/>
          <w:szCs w:val="18"/>
        </w:rPr>
        <w:t xml:space="preserve">       "temperature_c":22.5,"pluviometrie_mm":900,</w:t>
      </w:r>
    </w:p>
    <w:p>
      <w:pPr>
        <w:shd w:fill="1E1E2E" w:val="clear"/>
        <w:spacing w:after="80" w:before="80"/>
        <w:ind w:left="360" w:right="360"/>
      </w:pPr>
      <w:r>
        <w:rPr>
          <w:rFonts w:ascii="Courier New" w:cs="Courier New" w:eastAsia="Courier New" w:hAnsi="Courier New"/>
          <w:color w:val="A6E22E"/>
          <w:sz w:val="18"/>
          <w:szCs w:val="18"/>
        </w:rPr>
        <w:t xml:space="preserve">       "indice_secheresse":0.20,"radiation_kwh":145}'</w:t>
      </w:r>
    </w:p>
    <w:p>
      <w:pPr>
        <w:pBdr>
          <w:bottom w:val="single" w:color="1E5C8E" w:sz="2" w:space="1"/>
        </w:pBdr>
        <w:spacing w:after="200" w:before="200"/>
      </w:pPr>
    </w:p>
    <w:p>
      <w:pPr>
        <w:pStyle w:val="Heading1"/>
        <w:spacing w:after="200" w:before="360"/>
      </w:pPr>
      <w:r>
        <w:rPr>
          <w:rFonts w:ascii="Arial" w:cs="Arial" w:eastAsia="Arial" w:hAnsi="Arial"/>
          <w:b/>
          <w:bCs/>
          <w:color w:val="1E5C8E"/>
          <w:sz w:val="30"/>
          <w:szCs w:val="30"/>
        </w:rPr>
        <w:t xml:space="preserve">7. Description des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600"/>
        <w:gridCol w:w="3460"/>
      </w:tblGrid>
      <w:tr>
        <w:trPr>
          <w:tblHeader/>
        </w:trPr>
        <w:tc>
          <w:tcPr>
            <w:tcW w:type="dxa" w:w="23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 Docker</w:t>
            </w:r>
          </w:p>
        </w:tc>
        <w:tc>
          <w:tcPr>
            <w:tcW w:type="dxa" w:w="20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Image</w:t>
            </w:r>
          </w:p>
        </w:tc>
        <w:tc>
          <w:tcPr>
            <w:tcW w:type="dxa" w:w="160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IP (172.28.0.x)</w:t>
            </w:r>
          </w:p>
        </w:tc>
        <w:tc>
          <w:tcPr>
            <w:tcW w:type="dxa" w:w="3460"/>
            <w:tcBorders>
              <w:top w:val="single" w:color="C0C0C0" w:sz="1"/>
              <w:left w:val="single" w:color="C0C0C0" w:sz="1"/>
              <w:bottom w:val="single" w:color="C0C0C0" w:sz="1"/>
              <w:right w:val="single" w:color="C0C0C0" w:sz="1"/>
            </w:tcBorders>
            <w:shd w:fill="1E5C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r>
      <w:tr>
        <w:trPr>
          <w:tblHeader w:val="false"/>
        </w:trPr>
        <w:tc>
          <w:tcPr>
            <w:tcW w:type="dxa" w:w="23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base_donnees_postgres</w:t>
            </w:r>
          </w:p>
        </w:tc>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postgres:16-alpine</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172.28.0.10</w:t>
            </w:r>
          </w:p>
        </w:tc>
        <w:tc>
          <w:tcPr>
            <w:tcW w:type="dxa" w:w="34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 ACID — profils, métriques, logs</w:t>
            </w:r>
          </w:p>
        </w:tc>
      </w:tr>
      <w:tr>
        <w:trPr>
          <w:tblHeader w:val="false"/>
        </w:trPr>
        <w:tc>
          <w:tcPr>
            <w:tcW w:type="dxa" w:w="23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nosql_cassandra</w:t>
            </w:r>
          </w:p>
        </w:tc>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cassandra:4.1</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172.28.0.20</w:t>
            </w:r>
          </w:p>
        </w:tc>
        <w:tc>
          <w:tcPr>
            <w:tcW w:type="dxa" w:w="34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Séries temporelles brutes — modèle AP</w:t>
            </w:r>
          </w:p>
        </w:tc>
      </w:tr>
      <w:tr>
        <w:trPr>
          <w:tblHeader w:val="false"/>
        </w:trPr>
        <w:tc>
          <w:tcPr>
            <w:tcW w:type="dxa" w:w="23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cache_redis</w:t>
            </w:r>
          </w:p>
        </w:tc>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redis:7-alpine</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172.28.0.30</w:t>
            </w:r>
          </w:p>
        </w:tc>
        <w:tc>
          <w:tcPr>
            <w:tcW w:type="dxa" w:w="34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Cache in-memory prédictions (LRU, TTL 3600s)</w:t>
            </w:r>
          </w:p>
        </w:tc>
      </w:tr>
      <w:tr>
        <w:trPr>
          <w:tblHeader w:val="false"/>
        </w:trPr>
        <w:tc>
          <w:tcPr>
            <w:tcW w:type="dxa" w:w="23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api_climat</w:t>
            </w:r>
          </w:p>
        </w:tc>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python:3.11-slim (build)</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172.28.0.40</w:t>
            </w:r>
          </w:p>
        </w:tc>
        <w:tc>
          <w:tcPr>
            <w:tcW w:type="dxa" w:w="34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FastAPI async — cache-aside Redis → PG</w:t>
            </w:r>
          </w:p>
        </w:tc>
      </w:tr>
      <w:tr>
        <w:trPr>
          <w:tblHeader w:val="false"/>
        </w:trPr>
        <w:tc>
          <w:tcPr>
            <w:tcW w:type="dxa" w:w="23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worker_clustering</w:t>
            </w:r>
          </w:p>
        </w:tc>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python:3.11-slim (build)</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172.28.0.50</w:t>
            </w:r>
          </w:p>
        </w:tc>
        <w:tc>
          <w:tcPr>
            <w:tcW w:type="dxa" w:w="34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Pipeline K-Means batch (restart: no)</w:t>
            </w:r>
          </w:p>
        </w:tc>
      </w:tr>
      <w:tr>
        <w:trPr>
          <w:tblHeader w:val="false"/>
        </w:trPr>
        <w:tc>
          <w:tcPr>
            <w:tcW w:type="dxa" w:w="23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reverse_proxy</w:t>
            </w:r>
          </w:p>
        </w:tc>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nginx:1.27-alpine</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172.28.0.60</w:t>
            </w:r>
          </w:p>
        </w:tc>
        <w:tc>
          <w:tcPr>
            <w:tcW w:type="dxa" w:w="34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Point d'entrée HTTP — routage /api/* /app/*</w:t>
            </w:r>
          </w:p>
        </w:tc>
      </w:tr>
      <w:tr>
        <w:trPr>
          <w:tblHeader w:val="false"/>
        </w:trPr>
        <w:tc>
          <w:tcPr>
            <w:tcW w:type="dxa" w:w="23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frontend_streamlit</w:t>
            </w:r>
          </w:p>
        </w:tc>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python:3.11-slim (build)</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172.28.0.70</w:t>
            </w:r>
          </w:p>
        </w:tc>
        <w:tc>
          <w:tcPr>
            <w:tcW w:type="dxa" w:w="3460"/>
            <w:tcBorders>
              <w:top w:val="single" w:color="C0C0C0" w:sz="1"/>
              <w:left w:val="single" w:color="C0C0C0" w:sz="1"/>
              <w:bottom w:val="single" w:color="C0C0C0" w:sz="1"/>
              <w:right w:val="single" w:color="C0C0C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Streamlit (profil: full)</w:t>
            </w:r>
          </w:p>
        </w:tc>
      </w:tr>
    </w:tbl>
    <w:p>
      <w:pPr>
        <w:pBdr>
          <w:bottom w:val="single" w:color="1E5C8E" w:sz="2" w:space="1"/>
        </w:pBdr>
        <w:spacing w:after="200" w:before="200"/>
      </w:pPr>
    </w:p>
    <w:p>
      <w:pPr>
        <w:pStyle w:val="Heading1"/>
        <w:spacing w:after="200" w:before="360"/>
      </w:pPr>
      <w:r>
        <w:rPr>
          <w:rFonts w:ascii="Arial" w:cs="Arial" w:eastAsia="Arial" w:hAnsi="Arial"/>
          <w:b/>
          <w:bCs/>
          <w:color w:val="1E5C8E"/>
          <w:sz w:val="30"/>
          <w:szCs w:val="30"/>
        </w:rPr>
        <w:t xml:space="preserve">8. Références</w:t>
      </w:r>
    </w:p>
    <w:p>
      <w:pPr>
        <w:pStyle w:val="ListParagraph"/>
        <w:numPr>
          <w:ilvl w:val="0"/>
          <w:numId w:val="2"/>
        </w:numPr>
        <w:spacing w:after="60" w:before="60"/>
      </w:pPr>
      <w:r>
        <w:rPr>
          <w:rFonts w:ascii="Arial" w:cs="Arial" w:eastAsia="Arial" w:hAnsi="Arial"/>
          <w:sz w:val="22"/>
          <w:szCs w:val="22"/>
        </w:rPr>
        <w:t xml:space="preserve">Brewer, E.A. (2000). Towards Robust Distributed Systems. PODC Keynote.</w:t>
      </w:r>
    </w:p>
    <w:p>
      <w:pPr>
        <w:pStyle w:val="ListParagraph"/>
        <w:numPr>
          <w:ilvl w:val="0"/>
          <w:numId w:val="2"/>
        </w:numPr>
        <w:spacing w:after="60" w:before="60"/>
      </w:pPr>
      <w:r>
        <w:rPr>
          <w:rFonts w:ascii="Arial" w:cs="Arial" w:eastAsia="Arial" w:hAnsi="Arial"/>
          <w:sz w:val="22"/>
          <w:szCs w:val="22"/>
        </w:rPr>
        <w:t xml:space="preserve">Delandmeter, M. (2021). Modélisation de systèmes agricoles — Analyse prospective face au changement climatique. TFE Master Agroécologie, ULiège GxABT.</w:t>
      </w:r>
    </w:p>
    <w:p>
      <w:pPr>
        <w:pStyle w:val="ListParagraph"/>
        <w:numPr>
          <w:ilvl w:val="0"/>
          <w:numId w:val="2"/>
        </w:numPr>
        <w:spacing w:after="60" w:before="60"/>
      </w:pPr>
      <w:r>
        <w:rPr>
          <w:rFonts w:ascii="Arial" w:cs="Arial" w:eastAsia="Arial" w:hAnsi="Arial"/>
          <w:sz w:val="22"/>
          <w:szCs w:val="22"/>
        </w:rPr>
        <w:t xml:space="preserve">DeCandia, G. et al. (2007). Dynamo: Amazon's Highly Available Key-value Store. ACM SOSP.</w:t>
      </w:r>
    </w:p>
    <w:p>
      <w:pPr>
        <w:pStyle w:val="ListParagraph"/>
        <w:numPr>
          <w:ilvl w:val="0"/>
          <w:numId w:val="2"/>
        </w:numPr>
        <w:spacing w:after="60" w:before="60"/>
      </w:pPr>
      <w:r>
        <w:rPr>
          <w:rFonts w:ascii="Arial" w:cs="Arial" w:eastAsia="Arial" w:hAnsi="Arial"/>
          <w:sz w:val="22"/>
          <w:szCs w:val="22"/>
        </w:rPr>
        <w:t xml:space="preserve">Lakshman, A., Malik, P. (2010). Cassandra: A Decentralized Structured Storage System. ACM SIGOPS.</w:t>
      </w:r>
    </w:p>
    <w:p>
      <w:pPr>
        <w:pStyle w:val="ListParagraph"/>
        <w:numPr>
          <w:ilvl w:val="0"/>
          <w:numId w:val="2"/>
        </w:numPr>
        <w:spacing w:after="60" w:before="60"/>
      </w:pPr>
      <w:r>
        <w:rPr>
          <w:rFonts w:ascii="Arial" w:cs="Arial" w:eastAsia="Arial" w:hAnsi="Arial"/>
          <w:sz w:val="22"/>
          <w:szCs w:val="22"/>
        </w:rPr>
        <w:t xml:space="preserve">Lamport, L. (1978). Time, Clocks, and the Ordering of Events in a Distributed System. CACM.</w:t>
      </w:r>
    </w:p>
    <w:p>
      <w:pPr>
        <w:pStyle w:val="ListParagraph"/>
        <w:numPr>
          <w:ilvl w:val="0"/>
          <w:numId w:val="2"/>
        </w:numPr>
        <w:spacing w:after="60" w:before="60"/>
      </w:pPr>
      <w:r>
        <w:rPr>
          <w:rFonts w:ascii="Arial" w:cs="Arial" w:eastAsia="Arial" w:hAnsi="Arial"/>
          <w:sz w:val="22"/>
          <w:szCs w:val="22"/>
        </w:rPr>
        <w:t xml:space="preserve">Arthur, D., Vassilvitskii, S. (2007). K-means++: The Advantages of Careful Seeding. ACM-SIAM SODA.</w:t>
      </w:r>
    </w:p>
    <w:p>
      <w:pPr>
        <w:pStyle w:val="ListParagraph"/>
        <w:numPr>
          <w:ilvl w:val="0"/>
          <w:numId w:val="2"/>
        </w:numPr>
        <w:spacing w:after="60" w:before="60"/>
      </w:pPr>
      <w:r>
        <w:rPr>
          <w:rFonts w:ascii="Arial" w:cs="Arial" w:eastAsia="Arial" w:hAnsi="Arial"/>
          <w:sz w:val="22"/>
          <w:szCs w:val="22"/>
        </w:rPr>
        <w:t xml:space="preserve">Rousseeuw, P.J. (1987). Silhouettes: A Graphical Aid to the Interpretation of Cluster Analysis. JCAM.</w:t>
      </w:r>
    </w:p>
    <w:p>
      <w:pPr>
        <w:spacing w:after="100" w:before="100"/>
      </w:pPr>
    </w:p>
    <w:p>
      <w:pPr>
        <w:spacing w:after="100" w:before="100"/>
      </w:pPr>
      <w:r>
        <w:rPr>
          <w:rFonts w:ascii="Arial" w:cs="Arial" w:eastAsia="Arial" w:hAnsi="Arial"/>
          <w:b/>
          <w:bCs/>
          <w:sz w:val="22"/>
          <w:szCs w:val="22"/>
        </w:rPr>
        <w:t xml:space="preserve">Dépôt GitHub : </w:t>
      </w:r>
      <w:r>
        <w:rPr>
          <w:rFonts w:ascii="Arial" w:cs="Arial" w:eastAsia="Arial" w:hAnsi="Arial"/>
          <w:color w:val="1E5C8E"/>
          <w:sz w:val="22"/>
          <w:szCs w:val="22"/>
        </w:rPr>
        <w:t xml:space="preserve">https://github.com/letitan/climat-ia-microservices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C8E" w:sz="2" w:space="1"/>
      </w:pBdr>
      <w:tabs>
        <w:tab w:val="right" w:pos="9026"/>
      </w:tabs>
      <w:spacing w:before="80"/>
    </w:pPr>
    <w:r>
      <w:rPr>
        <w:rFonts w:ascii="Arial" w:cs="Arial" w:eastAsia="Arial" w:hAnsi="Arial"/>
        <w:color w:val="888888"/>
        <w:sz w:val="16"/>
        <w:szCs w:val="16"/>
      </w:rPr>
      <w:t xml:space="preserve">ESMT Dakar — Master Data Engineering &amp; IA 2025</w:t>
    </w:r>
    <w:r>
      <w:rPr>
        <w:sz w:val="16"/>
        <w:szCs w:val="16"/>
      </w:rPr>
      <w:t xml:space="preserve">	</w:t>
    </w:r>
    <w:r>
      <w:rPr>
        <w:rFonts w:ascii="Arial" w:cs="Arial" w:eastAsia="Arial" w:hAnsi="Arial"/>
        <w:sz w:val="16"/>
        <w:szCs w:val="16"/>
      </w:rPr>
      <w:t xml:space="preserve">Page </w:t>
    </w:r>
    <w:r>
      <w:rPr>
        <w:rFonts w:ascii="Arial" w:cs="Arial" w:eastAsia="Arial" w:hAnsi="Arial"/>
        <w:sz w:val="16"/>
        <w:szCs w:val="16"/>
      </w:rPr>
      <w:t xml:space="preserv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C8E" w:sz="4" w:space="1"/>
      </w:pBdr>
      <w:tabs>
        <w:tab w:val="right" w:pos="9026"/>
      </w:tabs>
      <w:spacing w:after="100"/>
    </w:pPr>
    <w:r>
      <w:rPr>
        <w:rFonts w:ascii="Arial" w:cs="Arial" w:eastAsia="Arial" w:hAnsi="Arial"/>
        <w:b/>
        <w:bCs/>
        <w:color w:val="1E5C8E"/>
        <w:sz w:val="18"/>
        <w:szCs w:val="18"/>
      </w:rPr>
      <w:t xml:space="preserve">Climat IA — Architecture Microservices Polyglotte</w:t>
    </w:r>
    <w:r>
      <w:rPr>
        <w:sz w:val="18"/>
        <w:szCs w:val="18"/>
      </w:rPr>
      <w:t xml:space="preserve">		</w:t>
    </w:r>
    <w:r>
      <w:rPr>
        <w:rFonts w:ascii="Arial" w:cs="Arial" w:eastAsia="Arial" w:hAnsi="Arial"/>
        <w:color w:val="888888"/>
        <w:sz w:val="18"/>
        <w:szCs w:val="18"/>
      </w:rPr>
      <w:t xml:space="preserve">PostgreSQL · Cassandra · Redis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5C8E"/>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E5C8E"/>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2026-06-09T16:37:37.499Z</dcterms:created>
  <dcterms:modified xsi:type="dcterms:W3CDTF">2026-06-09T16:37:37.499Z</dcterms:modified>
</cp:coreProperties>
</file>

<file path=docProps/custom.xml><?xml version="1.0" encoding="utf-8"?>
<Properties xmlns="http://schemas.openxmlformats.org/officeDocument/2006/custom-properties" xmlns:vt="http://schemas.openxmlformats.org/officeDocument/2006/docPropsVTypes"/>
</file>