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E-COMMERCE CUSTOMER BEHAVIOUR ANALYSIS AND CUSTOMER SEGMENTATION</w:t>
      </w:r>
    </w:p>
    <w:p>
      <w:pPr>
        <w:jc w:val="center"/>
      </w:pPr>
      <w:r>
        <w:t>Author: Tithi Mandal</w:t>
      </w:r>
    </w:p>
    <w:p>
      <w:pPr>
        <w:jc w:val="center"/>
      </w:pPr>
      <w:r>
        <w:t>Research-oriented analytics report generated from the supplied customer-level dataset.</w:t>
      </w:r>
    </w:p>
    <w:p>
      <w:pPr>
        <w:pStyle w:val="Heading1"/>
      </w:pPr>
      <w:r>
        <w:t>1. Executive Summary</w:t>
      </w:r>
    </w:p>
    <w:p>
      <w:r>
        <w:t>This project analyzes 150 customer records to understand demographics, purchasing behaviour, recency, RFM value, and machine-learning segments. The source contains 16 fields and no missing or duplicate records. Standardized Age, PurchaseAmount, Frequency, and Recency features were evaluated with K-Means for K=2 through 8; K=4 was selected because it achieved the highest silhouette score (0.446) while remaining interpretable. The highest-spending cluster is High-Value Loyal Customers, and Clothing is the most represented category. These are descriptive findings, not causal claims.</w:t>
      </w:r>
    </w:p>
    <w:p>
      <w:pPr>
        <w:pStyle w:val="Heading1"/>
      </w:pPr>
      <w:r>
        <w:t>2. Introduction</w:t>
      </w:r>
    </w:p>
    <w:p>
      <w:r>
        <w:t>Customer analytics helps an e-commerce business prioritize retention, loyalty, and category decisions. This study uses a compact customer-level dataset to demonstrate a reproducible path from validation and exploration to RFM scoring and unsupervised segmentation.</w:t>
      </w:r>
    </w:p>
    <w:p>
      <w:pPr>
        <w:pStyle w:val="Heading1"/>
      </w:pPr>
      <w:r>
        <w:t>3. Problem Statement</w:t>
      </w:r>
    </w:p>
    <w:p>
      <w:r>
        <w:t>Customers differ in how recently and frequently they engage and how much they spend. Without a structured view of these differences, marketing resources may be applied uniformly. The project addresses this by profiling behaviour and grouping customers with similar standardized behavioural patterns.</w:t>
      </w:r>
    </w:p>
    <w:p>
      <w:pPr>
        <w:pStyle w:val="Heading1"/>
      </w:pPr>
      <w:r>
        <w:t>4. Objectives</w:t>
      </w:r>
    </w:p>
    <w:p>
      <w:pPr>
        <w:pStyle w:val="ListBullet"/>
      </w:pPr>
      <w:r>
        <w:t>Validate and clean the supplied customer data.</w:t>
      </w:r>
    </w:p>
    <w:p>
      <w:pPr>
        <w:pStyle w:val="ListBullet"/>
      </w:pPr>
      <w:r>
        <w:t>Measure demographic, category, purchase, and recency KPIs.</w:t>
      </w:r>
    </w:p>
    <w:p>
      <w:pPr>
        <w:pStyle w:val="ListBullet"/>
      </w:pPr>
      <w:r>
        <w:t>Explore relationships without confusing correlation with causation.</w:t>
      </w:r>
    </w:p>
    <w:p>
      <w:pPr>
        <w:pStyle w:val="ListBullet"/>
      </w:pPr>
      <w:r>
        <w:t>Construct transparent quantile-based RFM scores.</w:t>
      </w:r>
    </w:p>
    <w:p>
      <w:pPr>
        <w:pStyle w:val="ListBullet"/>
      </w:pPr>
      <w:r>
        <w:t>Evaluate K-Means cluster counts with inertia and silhouette diagnostics.</w:t>
      </w:r>
    </w:p>
    <w:p>
      <w:pPr>
        <w:pStyle w:val="ListBullet"/>
      </w:pPr>
      <w:r>
        <w:t>Translate cluster profiles into cautious, actionable business recommendations.</w:t>
      </w:r>
    </w:p>
    <w:p>
      <w:pPr>
        <w:pStyle w:val="Heading1"/>
      </w:pPr>
      <w:r>
        <w:t>5. Dataset Description</w:t>
      </w:r>
    </w:p>
    <w:p>
      <w:r>
        <w:t>The analytical dataset has 150 rows and 16 columns. Age ranges from 20 to 55, PurchaseAmount from 900 to 7,300, Frequency from 2 to 18, and Recency from 2 to 84.</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Type</w:t>
            </w:r>
          </w:p>
        </w:tc>
      </w:tr>
      <w:tr>
        <w:tc>
          <w:tcPr>
            <w:tcW w:type="dxa" w:w="2880"/>
          </w:tcPr>
          <w:p>
            <w:r>
              <w:t>CustomerID</w:t>
            </w:r>
          </w:p>
        </w:tc>
        <w:tc>
          <w:tcPr>
            <w:tcW w:type="dxa" w:w="2880"/>
          </w:tcPr>
          <w:p>
            <w:r>
              <w:t>Unique customer identifier</w:t>
            </w:r>
          </w:p>
        </w:tc>
        <w:tc>
          <w:tcPr>
            <w:tcW w:type="dxa" w:w="2880"/>
          </w:tcPr>
          <w:p>
            <w:r>
              <w:t>Categorical</w:t>
            </w:r>
          </w:p>
        </w:tc>
      </w:tr>
      <w:tr>
        <w:tc>
          <w:tcPr>
            <w:tcW w:type="dxa" w:w="2880"/>
          </w:tcPr>
          <w:p>
            <w:r>
              <w:t>Age</w:t>
            </w:r>
          </w:p>
        </w:tc>
        <w:tc>
          <w:tcPr>
            <w:tcW w:type="dxa" w:w="2880"/>
          </w:tcPr>
          <w:p>
            <w:r>
              <w:t>Customer age</w:t>
            </w:r>
          </w:p>
        </w:tc>
        <w:tc>
          <w:tcPr>
            <w:tcW w:type="dxa" w:w="2880"/>
          </w:tcPr>
          <w:p>
            <w:r>
              <w:t>Numerical</w:t>
            </w:r>
          </w:p>
        </w:tc>
      </w:tr>
      <w:tr>
        <w:tc>
          <w:tcPr>
            <w:tcW w:type="dxa" w:w="2880"/>
          </w:tcPr>
          <w:p>
            <w:r>
              <w:t>Gender</w:t>
            </w:r>
          </w:p>
        </w:tc>
        <w:tc>
          <w:tcPr>
            <w:tcW w:type="dxa" w:w="2880"/>
          </w:tcPr>
          <w:p>
            <w:r>
              <w:t>Customer gender</w:t>
            </w:r>
          </w:p>
        </w:tc>
        <w:tc>
          <w:tcPr>
            <w:tcW w:type="dxa" w:w="2880"/>
          </w:tcPr>
          <w:p>
            <w:r>
              <w:t>Categorical</w:t>
            </w:r>
          </w:p>
        </w:tc>
      </w:tr>
      <w:tr>
        <w:tc>
          <w:tcPr>
            <w:tcW w:type="dxa" w:w="2880"/>
          </w:tcPr>
          <w:p>
            <w:r>
              <w:t>PurchaseAmount</w:t>
            </w:r>
          </w:p>
        </w:tc>
        <w:tc>
          <w:tcPr>
            <w:tcW w:type="dxa" w:w="2880"/>
          </w:tcPr>
          <w:p>
            <w:r>
              <w:t>Customer spending amount</w:t>
            </w:r>
          </w:p>
        </w:tc>
        <w:tc>
          <w:tcPr>
            <w:tcW w:type="dxa" w:w="2880"/>
          </w:tcPr>
          <w:p>
            <w:r>
              <w:t>Numerical</w:t>
            </w:r>
          </w:p>
        </w:tc>
      </w:tr>
      <w:tr>
        <w:tc>
          <w:tcPr>
            <w:tcW w:type="dxa" w:w="2880"/>
          </w:tcPr>
          <w:p>
            <w:r>
              <w:t>Frequency</w:t>
            </w:r>
          </w:p>
        </w:tc>
        <w:tc>
          <w:tcPr>
            <w:tcW w:type="dxa" w:w="2880"/>
          </w:tcPr>
          <w:p>
            <w:r>
              <w:t>Purchase frequency</w:t>
            </w:r>
          </w:p>
        </w:tc>
        <w:tc>
          <w:tcPr>
            <w:tcW w:type="dxa" w:w="2880"/>
          </w:tcPr>
          <w:p>
            <w:r>
              <w:t>Numerical</w:t>
            </w:r>
          </w:p>
        </w:tc>
      </w:tr>
      <w:tr>
        <w:tc>
          <w:tcPr>
            <w:tcW w:type="dxa" w:w="2880"/>
          </w:tcPr>
          <w:p>
            <w:r>
              <w:t>Recency</w:t>
            </w:r>
          </w:p>
        </w:tc>
        <w:tc>
          <w:tcPr>
            <w:tcW w:type="dxa" w:w="2880"/>
          </w:tcPr>
          <w:p>
            <w:r>
              <w:t>Days/units since activity as supplied</w:t>
            </w:r>
          </w:p>
        </w:tc>
        <w:tc>
          <w:tcPr>
            <w:tcW w:type="dxa" w:w="2880"/>
          </w:tcPr>
          <w:p>
            <w:r>
              <w:t>Numerical</w:t>
            </w:r>
          </w:p>
        </w:tc>
      </w:tr>
      <w:tr>
        <w:tc>
          <w:tcPr>
            <w:tcW w:type="dxa" w:w="2880"/>
          </w:tcPr>
          <w:p>
            <w:r>
              <w:t>Category</w:t>
            </w:r>
          </w:p>
        </w:tc>
        <w:tc>
          <w:tcPr>
            <w:tcW w:type="dxa" w:w="2880"/>
          </w:tcPr>
          <w:p>
            <w:r>
              <w:t>Product category</w:t>
            </w:r>
          </w:p>
        </w:tc>
        <w:tc>
          <w:tcPr>
            <w:tcW w:type="dxa" w:w="2880"/>
          </w:tcPr>
          <w:p>
            <w:r>
              <w:t>Categorical</w:t>
            </w:r>
          </w:p>
        </w:tc>
      </w:tr>
    </w:tbl>
    <w:p>
      <w:pPr>
        <w:pStyle w:val="Heading1"/>
      </w:pPr>
      <w:r>
        <w:t>6. Data Preprocessing</w:t>
      </w:r>
    </w:p>
    <w:p>
      <w:r>
        <w:t>The CSV was parsed with pandas, required columns were checked, numeric behaviour fields were coerced to numeric, and complete duplicate rows and duplicate CustomerIDs were removed if present. In the supplied file, missing-value counts and duplicate counts were both zero. Observed values were non-negative and within plausible ranges. CustomerID was excluded from modelling; categorical fields were used for profiles rather than K-Means features. StandardScaler was applied to the four numerical behaviour features so that purchase amount did not dominate the distance calculation.</w:t>
      </w:r>
    </w:p>
    <w:p>
      <w:pPr>
        <w:pStyle w:val="Heading1"/>
      </w:pPr>
      <w:r>
        <w:t>7. Exploratory Data Analysis</w:t>
      </w:r>
    </w:p>
    <w:p>
      <w:pPr>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01_age_distribution.png"/>
                    <pic:cNvPicPr/>
                  </pic:nvPicPr>
                  <pic:blipFill>
                    <a:blip r:embed="rId10"/>
                    <a:stretch>
                      <a:fillRect/>
                    </a:stretch>
                  </pic:blipFill>
                  <pic:spPr>
                    <a:xfrm>
                      <a:off x="0" y="0"/>
                      <a:ext cx="5715000" cy="3214688"/>
                    </a:xfrm>
                    <a:prstGeom prst="rect"/>
                  </pic:spPr>
                </pic:pic>
              </a:graphicData>
            </a:graphic>
          </wp:inline>
        </w:drawing>
      </w:r>
    </w:p>
    <w:p>
      <w:pPr>
        <w:jc w:val="center"/>
      </w:pPr>
      <w:r>
        <w:rPr>
          <w:b/>
        </w:rPr>
        <w:t>Figure 1. Customer age distribution</w:t>
      </w:r>
    </w:p>
    <w:p>
      <w:r>
        <w:t>Interpretation: The histogram describes the spread of the 150 supplied ages.</w:t>
      </w:r>
    </w:p>
    <w:p>
      <w:pPr>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05_gender_distribution.png"/>
                    <pic:cNvPicPr/>
                  </pic:nvPicPr>
                  <pic:blipFill>
                    <a:blip r:embed="rId11"/>
                    <a:stretch>
                      <a:fillRect/>
                    </a:stretch>
                  </pic:blipFill>
                  <pic:spPr>
                    <a:xfrm>
                      <a:off x="0" y="0"/>
                      <a:ext cx="5715000" cy="3214688"/>
                    </a:xfrm>
                    <a:prstGeom prst="rect"/>
                  </pic:spPr>
                </pic:pic>
              </a:graphicData>
            </a:graphic>
          </wp:inline>
        </w:drawing>
      </w:r>
    </w:p>
    <w:p>
      <w:pPr>
        <w:jc w:val="center"/>
      </w:pPr>
      <w:r>
        <w:rPr>
          <w:b/>
        </w:rPr>
        <w:t>Figure 2. Gender distribution</w:t>
      </w:r>
    </w:p>
    <w:p>
      <w:r>
        <w:t>Interpretation: The bar chart compares the two observed gender groups.</w:t>
      </w:r>
    </w:p>
    <w:p>
      <w:pPr>
        <w:jc w:val="center"/>
      </w:pPr>
      <w:r>
        <w:drawing>
          <wp:inline xmlns:a="http://schemas.openxmlformats.org/drawingml/2006/main" xmlns:pic="http://schemas.openxmlformats.org/drawingml/2006/picture">
            <wp:extent cx="5715000" cy="3214688"/>
            <wp:docPr id="3" name="Picture 3"/>
            <wp:cNvGraphicFramePr>
              <a:graphicFrameLocks noChangeAspect="1"/>
            </wp:cNvGraphicFramePr>
            <a:graphic>
              <a:graphicData uri="http://schemas.openxmlformats.org/drawingml/2006/picture">
                <pic:pic>
                  <pic:nvPicPr>
                    <pic:cNvPr id="0" name="02_purchase_distribution.png"/>
                    <pic:cNvPicPr/>
                  </pic:nvPicPr>
                  <pic:blipFill>
                    <a:blip r:embed="rId12"/>
                    <a:stretch>
                      <a:fillRect/>
                    </a:stretch>
                  </pic:blipFill>
                  <pic:spPr>
                    <a:xfrm>
                      <a:off x="0" y="0"/>
                      <a:ext cx="5715000" cy="3214688"/>
                    </a:xfrm>
                    <a:prstGeom prst="rect"/>
                  </pic:spPr>
                </pic:pic>
              </a:graphicData>
            </a:graphic>
          </wp:inline>
        </w:drawing>
      </w:r>
    </w:p>
    <w:p>
      <w:pPr>
        <w:jc w:val="center"/>
      </w:pPr>
      <w:r>
        <w:rPr>
          <w:b/>
        </w:rPr>
        <w:t>Figure 3. Purchase amount distribution</w:t>
      </w:r>
    </w:p>
    <w:p>
      <w:r>
        <w:t>Interpretation: Spending varies across the customer base and is not treated as a causal outcome.</w:t>
      </w:r>
    </w:p>
    <w:p>
      <w:pPr>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03_frequency_distribution.png"/>
                    <pic:cNvPicPr/>
                  </pic:nvPicPr>
                  <pic:blipFill>
                    <a:blip r:embed="rId13"/>
                    <a:stretch>
                      <a:fillRect/>
                    </a:stretch>
                  </pic:blipFill>
                  <pic:spPr>
                    <a:xfrm>
                      <a:off x="0" y="0"/>
                      <a:ext cx="5715000" cy="3214688"/>
                    </a:xfrm>
                    <a:prstGeom prst="rect"/>
                  </pic:spPr>
                </pic:pic>
              </a:graphicData>
            </a:graphic>
          </wp:inline>
        </w:drawing>
      </w:r>
    </w:p>
    <w:p>
      <w:pPr>
        <w:jc w:val="center"/>
      </w:pPr>
      <w:r>
        <w:rPr>
          <w:b/>
        </w:rPr>
        <w:t>Figure 4. Purchase frequency distribution</w:t>
      </w:r>
    </w:p>
    <w:p>
      <w:r>
        <w:t>Interpretation: Frequency is a supplied customer-level measure.</w:t>
      </w:r>
    </w:p>
    <w:p>
      <w:pPr>
        <w:jc w:val="center"/>
      </w:pPr>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04_recency_distribution.png"/>
                    <pic:cNvPicPr/>
                  </pic:nvPicPr>
                  <pic:blipFill>
                    <a:blip r:embed="rId14"/>
                    <a:stretch>
                      <a:fillRect/>
                    </a:stretch>
                  </pic:blipFill>
                  <pic:spPr>
                    <a:xfrm>
                      <a:off x="0" y="0"/>
                      <a:ext cx="5715000" cy="3214688"/>
                    </a:xfrm>
                    <a:prstGeom prst="rect"/>
                  </pic:spPr>
                </pic:pic>
              </a:graphicData>
            </a:graphic>
          </wp:inline>
        </w:drawing>
      </w:r>
    </w:p>
    <w:p>
      <w:pPr>
        <w:jc w:val="center"/>
      </w:pPr>
      <w:r>
        <w:rPr>
          <w:b/>
        </w:rPr>
        <w:t>Figure 5. Recency distribution</w:t>
      </w:r>
    </w:p>
    <w:p>
      <w:r>
        <w:t>Interpretation: Higher recency values indicate older activity under the dataset definition.</w:t>
      </w:r>
    </w:p>
    <w:p>
      <w:pPr>
        <w:jc w:val="center"/>
      </w:pPr>
      <w:r>
        <w:drawing>
          <wp:inline xmlns:a="http://schemas.openxmlformats.org/drawingml/2006/main" xmlns:pic="http://schemas.openxmlformats.org/drawingml/2006/picture">
            <wp:extent cx="5715000" cy="2804883"/>
            <wp:docPr id="6" name="Picture 6"/>
            <wp:cNvGraphicFramePr>
              <a:graphicFrameLocks noChangeAspect="1"/>
            </wp:cNvGraphicFramePr>
            <a:graphic>
              <a:graphicData uri="http://schemas.openxmlformats.org/drawingml/2006/picture">
                <pic:pic>
                  <pic:nvPicPr>
                    <pic:cNvPr id="0" name="06_category_distribution.png"/>
                    <pic:cNvPicPr/>
                  </pic:nvPicPr>
                  <pic:blipFill>
                    <a:blip r:embed="rId15"/>
                    <a:stretch>
                      <a:fillRect/>
                    </a:stretch>
                  </pic:blipFill>
                  <pic:spPr>
                    <a:xfrm>
                      <a:off x="0" y="0"/>
                      <a:ext cx="5715000" cy="2804883"/>
                    </a:xfrm>
                    <a:prstGeom prst="rect"/>
                  </pic:spPr>
                </pic:pic>
              </a:graphicData>
            </a:graphic>
          </wp:inline>
        </w:drawing>
      </w:r>
    </w:p>
    <w:p>
      <w:pPr>
        <w:jc w:val="center"/>
      </w:pPr>
      <w:r>
        <w:rPr>
          <w:b/>
        </w:rPr>
        <w:t>Figure 6. Category distribution</w:t>
      </w:r>
    </w:p>
    <w:p>
      <w:r>
        <w:t>Interpretation: Clothing has the highest customer count in this dataset.</w:t>
      </w:r>
    </w:p>
    <w:p>
      <w:pPr>
        <w:jc w:val="center"/>
      </w:pPr>
      <w:r>
        <w:drawing>
          <wp:inline xmlns:a="http://schemas.openxmlformats.org/drawingml/2006/main" xmlns:pic="http://schemas.openxmlformats.org/drawingml/2006/picture">
            <wp:extent cx="5715000" cy="2806871"/>
            <wp:docPr id="7" name="Picture 7"/>
            <wp:cNvGraphicFramePr>
              <a:graphicFrameLocks noChangeAspect="1"/>
            </wp:cNvGraphicFramePr>
            <a:graphic>
              <a:graphicData uri="http://schemas.openxmlformats.org/drawingml/2006/picture">
                <pic:pic>
                  <pic:nvPicPr>
                    <pic:cNvPr id="0" name="07_purchase_by_category.png"/>
                    <pic:cNvPicPr/>
                  </pic:nvPicPr>
                  <pic:blipFill>
                    <a:blip r:embed="rId16"/>
                    <a:stretch>
                      <a:fillRect/>
                    </a:stretch>
                  </pic:blipFill>
                  <pic:spPr>
                    <a:xfrm>
                      <a:off x="0" y="0"/>
                      <a:ext cx="5715000" cy="2806871"/>
                    </a:xfrm>
                    <a:prstGeom prst="rect"/>
                  </pic:spPr>
                </pic:pic>
              </a:graphicData>
            </a:graphic>
          </wp:inline>
        </w:drawing>
      </w:r>
    </w:p>
    <w:p>
      <w:pPr>
        <w:jc w:val="center"/>
      </w:pPr>
      <w:r>
        <w:rPr>
          <w:b/>
        </w:rPr>
        <w:t>Figure 7. Purchase amount by category</w:t>
      </w:r>
    </w:p>
    <w:p>
      <w:r>
        <w:t>Interpretation: The box plots compare spending distributions by category.</w:t>
      </w:r>
    </w:p>
    <w:p>
      <w:pPr>
        <w:jc w:val="center"/>
      </w:pPr>
      <w:r>
        <w:drawing>
          <wp:inline xmlns:a="http://schemas.openxmlformats.org/drawingml/2006/main" xmlns:pic="http://schemas.openxmlformats.org/drawingml/2006/picture">
            <wp:extent cx="5715000" cy="2759927"/>
            <wp:docPr id="8" name="Picture 8"/>
            <wp:cNvGraphicFramePr>
              <a:graphicFrameLocks noChangeAspect="1"/>
            </wp:cNvGraphicFramePr>
            <a:graphic>
              <a:graphicData uri="http://schemas.openxmlformats.org/drawingml/2006/picture">
                <pic:pic>
                  <pic:nvPicPr>
                    <pic:cNvPr id="0" name="08_frequency_by_category.png"/>
                    <pic:cNvPicPr/>
                  </pic:nvPicPr>
                  <pic:blipFill>
                    <a:blip r:embed="rId17"/>
                    <a:stretch>
                      <a:fillRect/>
                    </a:stretch>
                  </pic:blipFill>
                  <pic:spPr>
                    <a:xfrm>
                      <a:off x="0" y="0"/>
                      <a:ext cx="5715000" cy="2759927"/>
                    </a:xfrm>
                    <a:prstGeom prst="rect"/>
                  </pic:spPr>
                </pic:pic>
              </a:graphicData>
            </a:graphic>
          </wp:inline>
        </w:drawing>
      </w:r>
    </w:p>
    <w:p>
      <w:pPr>
        <w:jc w:val="center"/>
      </w:pPr>
      <w:r>
        <w:rPr>
          <w:b/>
        </w:rPr>
        <w:t>Figure 8. Frequency by category</w:t>
      </w:r>
    </w:p>
    <w:p>
      <w:r>
        <w:t>Interpretation: Category-level frequency differences are descriptive.</w:t>
      </w:r>
    </w:p>
    <w:p>
      <w:pPr>
        <w:jc w:val="center"/>
      </w:pPr>
      <w:r>
        <w:drawing>
          <wp:inline xmlns:a="http://schemas.openxmlformats.org/drawingml/2006/main" xmlns:pic="http://schemas.openxmlformats.org/drawingml/2006/picture">
            <wp:extent cx="5715000" cy="3768311"/>
            <wp:docPr id="9" name="Picture 9"/>
            <wp:cNvGraphicFramePr>
              <a:graphicFrameLocks noChangeAspect="1"/>
            </wp:cNvGraphicFramePr>
            <a:graphic>
              <a:graphicData uri="http://schemas.openxmlformats.org/drawingml/2006/picture">
                <pic:pic>
                  <pic:nvPicPr>
                    <pic:cNvPr id="0" name="09_age_purchase.png"/>
                    <pic:cNvPicPr/>
                  </pic:nvPicPr>
                  <pic:blipFill>
                    <a:blip r:embed="rId18"/>
                    <a:stretch>
                      <a:fillRect/>
                    </a:stretch>
                  </pic:blipFill>
                  <pic:spPr>
                    <a:xfrm>
                      <a:off x="0" y="0"/>
                      <a:ext cx="5715000" cy="3768311"/>
                    </a:xfrm>
                    <a:prstGeom prst="rect"/>
                  </pic:spPr>
                </pic:pic>
              </a:graphicData>
            </a:graphic>
          </wp:inline>
        </w:drawing>
      </w:r>
    </w:p>
    <w:p>
      <w:pPr>
        <w:jc w:val="center"/>
      </w:pPr>
      <w:r>
        <w:rPr>
          <w:b/>
        </w:rPr>
        <w:t>Figure 9. Age versus purchase amount</w:t>
      </w:r>
    </w:p>
    <w:p>
      <w:r>
        <w:t>Interpretation: The scatter plot shows association only; it does not establish that age causes spending.</w:t>
      </w:r>
    </w:p>
    <w:p>
      <w:pPr>
        <w:jc w:val="center"/>
      </w:pPr>
      <w:r>
        <w:drawing>
          <wp:inline xmlns:a="http://schemas.openxmlformats.org/drawingml/2006/main" xmlns:pic="http://schemas.openxmlformats.org/drawingml/2006/picture">
            <wp:extent cx="5715000" cy="3768311"/>
            <wp:docPr id="10" name="Picture 10"/>
            <wp:cNvGraphicFramePr>
              <a:graphicFrameLocks noChangeAspect="1"/>
            </wp:cNvGraphicFramePr>
            <a:graphic>
              <a:graphicData uri="http://schemas.openxmlformats.org/drawingml/2006/picture">
                <pic:pic>
                  <pic:nvPicPr>
                    <pic:cNvPr id="0" name="10_frequency_purchase.png"/>
                    <pic:cNvPicPr/>
                  </pic:nvPicPr>
                  <pic:blipFill>
                    <a:blip r:embed="rId19"/>
                    <a:stretch>
                      <a:fillRect/>
                    </a:stretch>
                  </pic:blipFill>
                  <pic:spPr>
                    <a:xfrm>
                      <a:off x="0" y="0"/>
                      <a:ext cx="5715000" cy="3768311"/>
                    </a:xfrm>
                    <a:prstGeom prst="rect"/>
                  </pic:spPr>
                </pic:pic>
              </a:graphicData>
            </a:graphic>
          </wp:inline>
        </w:drawing>
      </w:r>
    </w:p>
    <w:p>
      <w:pPr>
        <w:jc w:val="center"/>
      </w:pPr>
      <w:r>
        <w:rPr>
          <w:b/>
        </w:rPr>
        <w:t>Figure 10. Frequency versus purchase amount</w:t>
      </w:r>
    </w:p>
    <w:p>
      <w:r>
        <w:t>Interpretation: The plot helps inspect whether high-frequency customers also spend more.</w:t>
      </w:r>
    </w:p>
    <w:p>
      <w:pPr>
        <w:jc w:val="center"/>
      </w:pPr>
      <w:r>
        <w:drawing>
          <wp:inline xmlns:a="http://schemas.openxmlformats.org/drawingml/2006/main" xmlns:pic="http://schemas.openxmlformats.org/drawingml/2006/picture">
            <wp:extent cx="5715000" cy="3768311"/>
            <wp:docPr id="11" name="Picture 11"/>
            <wp:cNvGraphicFramePr>
              <a:graphicFrameLocks noChangeAspect="1"/>
            </wp:cNvGraphicFramePr>
            <a:graphic>
              <a:graphicData uri="http://schemas.openxmlformats.org/drawingml/2006/picture">
                <pic:pic>
                  <pic:nvPicPr>
                    <pic:cNvPr id="0" name="11_recency_purchase.png"/>
                    <pic:cNvPicPr/>
                  </pic:nvPicPr>
                  <pic:blipFill>
                    <a:blip r:embed="rId20"/>
                    <a:stretch>
                      <a:fillRect/>
                    </a:stretch>
                  </pic:blipFill>
                  <pic:spPr>
                    <a:xfrm>
                      <a:off x="0" y="0"/>
                      <a:ext cx="5715000" cy="3768311"/>
                    </a:xfrm>
                    <a:prstGeom prst="rect"/>
                  </pic:spPr>
                </pic:pic>
              </a:graphicData>
            </a:graphic>
          </wp:inline>
        </w:drawing>
      </w:r>
    </w:p>
    <w:p>
      <w:pPr>
        <w:jc w:val="center"/>
      </w:pPr>
      <w:r>
        <w:rPr>
          <w:b/>
        </w:rPr>
        <w:t>Figure 11. Recency versus purchase amount</w:t>
      </w:r>
    </w:p>
    <w:p>
      <w:r>
        <w:t>Interpretation: The relationship between older activity and spending can be visually inspected.</w:t>
      </w:r>
    </w:p>
    <w:p>
      <w:pPr>
        <w:jc w:val="center"/>
      </w:pPr>
      <w:r>
        <w:drawing>
          <wp:inline xmlns:a="http://schemas.openxmlformats.org/drawingml/2006/main" xmlns:pic="http://schemas.openxmlformats.org/drawingml/2006/picture">
            <wp:extent cx="5715000" cy="4851623"/>
            <wp:docPr id="12" name="Picture 12"/>
            <wp:cNvGraphicFramePr>
              <a:graphicFrameLocks noChangeAspect="1"/>
            </wp:cNvGraphicFramePr>
            <a:graphic>
              <a:graphicData uri="http://schemas.openxmlformats.org/drawingml/2006/picture">
                <pic:pic>
                  <pic:nvPicPr>
                    <pic:cNvPr id="0" name="12_correlation_heatmap.png"/>
                    <pic:cNvPicPr/>
                  </pic:nvPicPr>
                  <pic:blipFill>
                    <a:blip r:embed="rId21"/>
                    <a:stretch>
                      <a:fillRect/>
                    </a:stretch>
                  </pic:blipFill>
                  <pic:spPr>
                    <a:xfrm>
                      <a:off x="0" y="0"/>
                      <a:ext cx="5715000" cy="4851623"/>
                    </a:xfrm>
                    <a:prstGeom prst="rect"/>
                  </pic:spPr>
                </pic:pic>
              </a:graphicData>
            </a:graphic>
          </wp:inline>
        </w:drawing>
      </w:r>
    </w:p>
    <w:p>
      <w:pPr>
        <w:jc w:val="center"/>
      </w:pPr>
      <w:r>
        <w:rPr>
          <w:b/>
        </w:rPr>
        <w:t>Figure 12. Correlation heatmap</w:t>
      </w:r>
    </w:p>
    <w:p>
      <w:r>
        <w:t>Interpretation: Correlation summarizes linear association and should not be read as causation.</w:t>
      </w:r>
    </w:p>
    <w:p>
      <w:pPr>
        <w:pStyle w:val="Heading1"/>
      </w:pPr>
      <w:r>
        <w:t>8. KPI Analysis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KPI</w:t>
            </w:r>
          </w:p>
        </w:tc>
        <w:tc>
          <w:tcPr>
            <w:tcW w:type="dxa" w:w="4320"/>
          </w:tcPr>
          <w:p>
            <w:r>
              <w:t>Value</w:t>
            </w:r>
          </w:p>
        </w:tc>
      </w:tr>
      <w:tr>
        <w:tc>
          <w:tcPr>
            <w:tcW w:type="dxa" w:w="4320"/>
          </w:tcPr>
          <w:p>
            <w:r>
              <w:t>Total customers</w:t>
            </w:r>
          </w:p>
        </w:tc>
        <w:tc>
          <w:tcPr>
            <w:tcW w:type="dxa" w:w="4320"/>
          </w:tcPr>
          <w:p>
            <w:r>
              <w:t>150</w:t>
            </w:r>
          </w:p>
        </w:tc>
      </w:tr>
      <w:tr>
        <w:tc>
          <w:tcPr>
            <w:tcW w:type="dxa" w:w="4320"/>
          </w:tcPr>
          <w:p>
            <w:r>
              <w:t>Total purchase amount</w:t>
            </w:r>
          </w:p>
        </w:tc>
        <w:tc>
          <w:tcPr>
            <w:tcW w:type="dxa" w:w="4320"/>
          </w:tcPr>
          <w:p>
            <w:r>
              <w:t>523,150</w:t>
            </w:r>
          </w:p>
        </w:tc>
      </w:tr>
      <w:tr>
        <w:tc>
          <w:tcPr>
            <w:tcW w:type="dxa" w:w="4320"/>
          </w:tcPr>
          <w:p>
            <w:r>
              <w:t>Average age</w:t>
            </w:r>
          </w:p>
        </w:tc>
        <w:tc>
          <w:tcPr>
            <w:tcW w:type="dxa" w:w="4320"/>
          </w:tcPr>
          <w:p>
            <w:r>
              <w:t>35.98</w:t>
            </w:r>
          </w:p>
        </w:tc>
      </w:tr>
      <w:tr>
        <w:tc>
          <w:tcPr>
            <w:tcW w:type="dxa" w:w="4320"/>
          </w:tcPr>
          <w:p>
            <w:r>
              <w:t>Average purchase amount</w:t>
            </w:r>
          </w:p>
        </w:tc>
        <w:tc>
          <w:tcPr>
            <w:tcW w:type="dxa" w:w="4320"/>
          </w:tcPr>
          <w:p>
            <w:r>
              <w:t>3,487.67</w:t>
            </w:r>
          </w:p>
        </w:tc>
      </w:tr>
      <w:tr>
        <w:tc>
          <w:tcPr>
            <w:tcW w:type="dxa" w:w="4320"/>
          </w:tcPr>
          <w:p>
            <w:r>
              <w:t>Maximum purchase amount</w:t>
            </w:r>
          </w:p>
        </w:tc>
        <w:tc>
          <w:tcPr>
            <w:tcW w:type="dxa" w:w="4320"/>
          </w:tcPr>
          <w:p>
            <w:r>
              <w:t>7,300</w:t>
            </w:r>
          </w:p>
        </w:tc>
      </w:tr>
      <w:tr>
        <w:tc>
          <w:tcPr>
            <w:tcW w:type="dxa" w:w="4320"/>
          </w:tcPr>
          <w:p>
            <w:r>
              <w:t>Minimum purchase amount</w:t>
            </w:r>
          </w:p>
        </w:tc>
        <w:tc>
          <w:tcPr>
            <w:tcW w:type="dxa" w:w="4320"/>
          </w:tcPr>
          <w:p>
            <w:r>
              <w:t>900</w:t>
            </w:r>
          </w:p>
        </w:tc>
      </w:tr>
      <w:tr>
        <w:tc>
          <w:tcPr>
            <w:tcW w:type="dxa" w:w="4320"/>
          </w:tcPr>
          <w:p>
            <w:r>
              <w:t>Average frequency</w:t>
            </w:r>
          </w:p>
        </w:tc>
        <w:tc>
          <w:tcPr>
            <w:tcW w:type="dxa" w:w="4320"/>
          </w:tcPr>
          <w:p>
            <w:r>
              <w:t>8.23</w:t>
            </w:r>
          </w:p>
        </w:tc>
      </w:tr>
      <w:tr>
        <w:tc>
          <w:tcPr>
            <w:tcW w:type="dxa" w:w="4320"/>
          </w:tcPr>
          <w:p>
            <w:r>
              <w:t>Maximum frequency</w:t>
            </w:r>
          </w:p>
        </w:tc>
        <w:tc>
          <w:tcPr>
            <w:tcW w:type="dxa" w:w="4320"/>
          </w:tcPr>
          <w:p>
            <w:r>
              <w:t>18</w:t>
            </w:r>
          </w:p>
        </w:tc>
      </w:tr>
      <w:tr>
        <w:tc>
          <w:tcPr>
            <w:tcW w:type="dxa" w:w="4320"/>
          </w:tcPr>
          <w:p>
            <w:r>
              <w:t>Average recency</w:t>
            </w:r>
          </w:p>
        </w:tc>
        <w:tc>
          <w:tcPr>
            <w:tcW w:type="dxa" w:w="4320"/>
          </w:tcPr>
          <w:p>
            <w:r>
              <w:t>26.56</w:t>
            </w:r>
          </w:p>
        </w:tc>
      </w:tr>
      <w:tr>
        <w:tc>
          <w:tcPr>
            <w:tcW w:type="dxa" w:w="4320"/>
          </w:tcPr>
          <w:p>
            <w:r>
              <w:t>Most recent activity</w:t>
            </w:r>
          </w:p>
        </w:tc>
        <w:tc>
          <w:tcPr>
            <w:tcW w:type="dxa" w:w="4320"/>
          </w:tcPr>
          <w:p>
            <w:r>
              <w:t>2</w:t>
            </w:r>
          </w:p>
        </w:tc>
      </w:tr>
      <w:tr>
        <w:tc>
          <w:tcPr>
            <w:tcW w:type="dxa" w:w="4320"/>
          </w:tcPr>
          <w:p>
            <w:r>
              <w:t>Male customers</w:t>
            </w:r>
          </w:p>
        </w:tc>
        <w:tc>
          <w:tcPr>
            <w:tcW w:type="dxa" w:w="4320"/>
          </w:tcPr>
          <w:p>
            <w:r>
              <w:t>75</w:t>
            </w:r>
          </w:p>
        </w:tc>
      </w:tr>
      <w:tr>
        <w:tc>
          <w:tcPr>
            <w:tcW w:type="dxa" w:w="4320"/>
          </w:tcPr>
          <w:p>
            <w:r>
              <w:t>Female customers</w:t>
            </w:r>
          </w:p>
        </w:tc>
        <w:tc>
          <w:tcPr>
            <w:tcW w:type="dxa" w:w="4320"/>
          </w:tcPr>
          <w:p>
            <w:r>
              <w:t>75</w:t>
            </w:r>
          </w:p>
        </w:tc>
      </w:tr>
      <w:tr>
        <w:tc>
          <w:tcPr>
            <w:tcW w:type="dxa" w:w="4320"/>
          </w:tcPr>
          <w:p>
            <w:r>
              <w:t>Most popular category</w:t>
            </w:r>
          </w:p>
        </w:tc>
        <w:tc>
          <w:tcPr>
            <w:tcW w:type="dxa" w:w="4320"/>
          </w:tcPr>
          <w:p>
            <w:r>
              <w:t>Clothing</w:t>
            </w:r>
          </w:p>
        </w:tc>
      </w:tr>
      <w:tr>
        <w:tc>
          <w:tcPr>
            <w:tcW w:type="dxa" w:w="4320"/>
          </w:tcPr>
          <w:p>
            <w:r>
              <w:t>High-value customer count</w:t>
            </w:r>
          </w:p>
        </w:tc>
        <w:tc>
          <w:tcPr>
            <w:tcW w:type="dxa" w:w="4320"/>
          </w:tcPr>
          <w:p>
            <w:r>
              <w:t>38</w:t>
            </w:r>
          </w:p>
        </w:tc>
      </w:tr>
    </w:tbl>
    <w:p>
      <w:pPr>
        <w:pStyle w:val="Heading1"/>
      </w:pPr>
      <w:r>
        <w:t>9. RFM Analysis</w:t>
      </w:r>
    </w:p>
    <w:p>
      <w:r>
        <w:t>R is Recency, F is Frequency, and M is PurchaseAmount as the available monetary proxy. Each variable was ranked into five equal-sized quantile groups. Recency was reversed for scoring, because lower recency indicates more recent activity. The combined score is the sum of the three component scores. Labels are rule-based summaries of these data-derived scores and are not churn predictions.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RFMSegment</w:t>
            </w:r>
          </w:p>
        </w:tc>
        <w:tc>
          <w:tcPr>
            <w:tcW w:type="dxa" w:w="1728"/>
          </w:tcPr>
          <w:p>
            <w:r>
              <w:t>Customers</w:t>
            </w:r>
          </w:p>
        </w:tc>
        <w:tc>
          <w:tcPr>
            <w:tcW w:type="dxa" w:w="1728"/>
          </w:tcPr>
          <w:p>
            <w:r>
              <w:t>AvgRecency</w:t>
            </w:r>
          </w:p>
        </w:tc>
        <w:tc>
          <w:tcPr>
            <w:tcW w:type="dxa" w:w="1728"/>
          </w:tcPr>
          <w:p>
            <w:r>
              <w:t>AvgFrequency</w:t>
            </w:r>
          </w:p>
        </w:tc>
        <w:tc>
          <w:tcPr>
            <w:tcW w:type="dxa" w:w="1728"/>
          </w:tcPr>
          <w:p>
            <w:r>
              <w:t>AvgPurchase</w:t>
            </w:r>
          </w:p>
        </w:tc>
      </w:tr>
      <w:tr>
        <w:tc>
          <w:tcPr>
            <w:tcW w:type="dxa" w:w="1728"/>
          </w:tcPr>
          <w:p>
            <w:r>
              <w:t>At-Risk Customers</w:t>
            </w:r>
          </w:p>
        </w:tc>
        <w:tc>
          <w:tcPr>
            <w:tcW w:type="dxa" w:w="1728"/>
          </w:tcPr>
          <w:p>
            <w:r>
              <w:t>60</w:t>
            </w:r>
          </w:p>
        </w:tc>
        <w:tc>
          <w:tcPr>
            <w:tcW w:type="dxa" w:w="1728"/>
          </w:tcPr>
          <w:p>
            <w:r>
              <w:t>47.50</w:t>
            </w:r>
          </w:p>
        </w:tc>
        <w:tc>
          <w:tcPr>
            <w:tcW w:type="dxa" w:w="1728"/>
          </w:tcPr>
          <w:p>
            <w:r>
              <w:t>4.22</w:t>
            </w:r>
          </w:p>
        </w:tc>
        <w:tc>
          <w:tcPr>
            <w:tcW w:type="dxa" w:w="1728"/>
          </w:tcPr>
          <w:p>
            <w:r>
              <w:t>1866.67</w:t>
            </w:r>
          </w:p>
        </w:tc>
      </w:tr>
      <w:tr>
        <w:tc>
          <w:tcPr>
            <w:tcW w:type="dxa" w:w="1728"/>
          </w:tcPr>
          <w:p>
            <w:r>
              <w:t>High-Value Customers</w:t>
            </w:r>
          </w:p>
        </w:tc>
        <w:tc>
          <w:tcPr>
            <w:tcW w:type="dxa" w:w="1728"/>
          </w:tcPr>
          <w:p>
            <w:r>
              <w:t>33</w:t>
            </w:r>
          </w:p>
        </w:tc>
        <w:tc>
          <w:tcPr>
            <w:tcW w:type="dxa" w:w="1728"/>
          </w:tcPr>
          <w:p>
            <w:r>
              <w:t>5.58</w:t>
            </w:r>
          </w:p>
        </w:tc>
        <w:tc>
          <w:tcPr>
            <w:tcW w:type="dxa" w:w="1728"/>
          </w:tcPr>
          <w:p>
            <w:r>
              <w:t>14.42</w:t>
            </w:r>
          </w:p>
        </w:tc>
        <w:tc>
          <w:tcPr>
            <w:tcW w:type="dxa" w:w="1728"/>
          </w:tcPr>
          <w:p>
            <w:r>
              <w:t>5942.42</w:t>
            </w:r>
          </w:p>
        </w:tc>
      </w:tr>
      <w:tr>
        <w:tc>
          <w:tcPr>
            <w:tcW w:type="dxa" w:w="1728"/>
          </w:tcPr>
          <w:p>
            <w:r>
              <w:t>Low-Engagement Customers</w:t>
            </w:r>
          </w:p>
        </w:tc>
        <w:tc>
          <w:tcPr>
            <w:tcW w:type="dxa" w:w="1728"/>
          </w:tcPr>
          <w:p>
            <w:r>
              <w:t>27</w:t>
            </w:r>
          </w:p>
        </w:tc>
        <w:tc>
          <w:tcPr>
            <w:tcW w:type="dxa" w:w="1728"/>
          </w:tcPr>
          <w:p>
            <w:r>
              <w:t>20.70</w:t>
            </w:r>
          </w:p>
        </w:tc>
        <w:tc>
          <w:tcPr>
            <w:tcW w:type="dxa" w:w="1728"/>
          </w:tcPr>
          <w:p>
            <w:r>
              <w:t>7.56</w:t>
            </w:r>
          </w:p>
        </w:tc>
        <w:tc>
          <w:tcPr>
            <w:tcW w:type="dxa" w:w="1728"/>
          </w:tcPr>
          <w:p>
            <w:r>
              <w:t>3229.63</w:t>
            </w:r>
          </w:p>
        </w:tc>
      </w:tr>
      <w:tr>
        <w:tc>
          <w:tcPr>
            <w:tcW w:type="dxa" w:w="1728"/>
          </w:tcPr>
          <w:p>
            <w:r>
              <w:t>Loyal Customers</w:t>
            </w:r>
          </w:p>
        </w:tc>
        <w:tc>
          <w:tcPr>
            <w:tcW w:type="dxa" w:w="1728"/>
          </w:tcPr>
          <w:p>
            <w:r>
              <w:t>25</w:t>
            </w:r>
          </w:p>
        </w:tc>
        <w:tc>
          <w:tcPr>
            <w:tcW w:type="dxa" w:w="1728"/>
          </w:tcPr>
          <w:p>
            <w:r>
              <w:t>12.84</w:t>
            </w:r>
          </w:p>
        </w:tc>
        <w:tc>
          <w:tcPr>
            <w:tcW w:type="dxa" w:w="1728"/>
          </w:tcPr>
          <w:p>
            <w:r>
              <w:t>10.28</w:t>
            </w:r>
          </w:p>
        </w:tc>
        <w:tc>
          <w:tcPr>
            <w:tcW w:type="dxa" w:w="1728"/>
          </w:tcPr>
          <w:p>
            <w:r>
              <w:t>4408.00</w:t>
            </w:r>
          </w:p>
        </w:tc>
      </w:tr>
      <w:tr>
        <w:tc>
          <w:tcPr>
            <w:tcW w:type="dxa" w:w="1728"/>
          </w:tcPr>
          <w:p>
            <w:r>
              <w:t>Potential Loyal Customers</w:t>
            </w:r>
          </w:p>
        </w:tc>
        <w:tc>
          <w:tcPr>
            <w:tcW w:type="dxa" w:w="1728"/>
          </w:tcPr>
          <w:p>
            <w:r>
              <w:t>5</w:t>
            </w:r>
          </w:p>
        </w:tc>
        <w:tc>
          <w:tcPr>
            <w:tcW w:type="dxa" w:w="1728"/>
          </w:tcPr>
          <w:p>
            <w:r>
              <w:t>14.00</w:t>
            </w:r>
          </w:p>
        </w:tc>
        <w:tc>
          <w:tcPr>
            <w:tcW w:type="dxa" w:w="1728"/>
          </w:tcPr>
          <w:p>
            <w:r>
              <w:t>8.80</w:t>
            </w:r>
          </w:p>
        </w:tc>
        <w:tc>
          <w:tcPr>
            <w:tcW w:type="dxa" w:w="1728"/>
          </w:tcPr>
          <w:p>
            <w:r>
              <w:t>3530.00</w:t>
            </w:r>
          </w:p>
        </w:tc>
      </w:tr>
    </w:tbl>
    <w:p>
      <w:pPr>
        <w:pStyle w:val="Heading1"/>
      </w:pPr>
      <w:r>
        <w:t>10. Customer Segmentation Methodology</w:t>
      </w:r>
    </w:p>
    <w:p>
      <w:r>
        <w:t>K-Means assigns each standardized observation to the nearest centroid and minimizes the within-cluster sum of squared distances: J = sum over clusters and observations of ||x_i - mu_k||^2. Standardization is necessary because the behavioural features have different units and scales. K-Means was fitted with random_state=42 and n_init=20.</w:t>
      </w:r>
    </w:p>
    <w:p>
      <w:pPr>
        <w:pStyle w:val="Heading1"/>
      </w:pPr>
      <w:r>
        <w:t>11. Elbow Method and Silhouette Analysis</w:t>
      </w:r>
    </w:p>
    <w:p>
      <w:r>
        <w:t>Inertia decreases as K grows, so the elbow is considered alongside separation quality. The silhouette score compares within-cluster cohesion with nearest-cluster separation; higher values are preferred. K was selected by the maximum silhouette score across K=2..8, then checked for profile interpretability.</w:t>
      </w:r>
    </w:p>
    <w:p>
      <w:pPr>
        <w:jc w:val="center"/>
      </w:pPr>
      <w:r>
        <w:drawing>
          <wp:inline xmlns:a="http://schemas.openxmlformats.org/drawingml/2006/main" xmlns:pic="http://schemas.openxmlformats.org/drawingml/2006/picture">
            <wp:extent cx="5715000" cy="2028942"/>
            <wp:docPr id="13" name="Picture 13"/>
            <wp:cNvGraphicFramePr>
              <a:graphicFrameLocks noChangeAspect="1"/>
            </wp:cNvGraphicFramePr>
            <a:graphic>
              <a:graphicData uri="http://schemas.openxmlformats.org/drawingml/2006/picture">
                <pic:pic>
                  <pic:nvPicPr>
                    <pic:cNvPr id="0" name="19_cluster_diagnostics.png"/>
                    <pic:cNvPicPr/>
                  </pic:nvPicPr>
                  <pic:blipFill>
                    <a:blip r:embed="rId22"/>
                    <a:stretch>
                      <a:fillRect/>
                    </a:stretch>
                  </pic:blipFill>
                  <pic:spPr>
                    <a:xfrm>
                      <a:off x="0" y="0"/>
                      <a:ext cx="5715000" cy="2028942"/>
                    </a:xfrm>
                    <a:prstGeom prst="rect"/>
                  </pic:spPr>
                </pic:pic>
              </a:graphicData>
            </a:graphic>
          </wp:inline>
        </w:drawing>
      </w:r>
    </w:p>
    <w:p>
      <w:pPr>
        <w:jc w:val="center"/>
      </w:pPr>
      <w:r>
        <w:rPr>
          <w:b/>
        </w:rPr>
        <w:t>Figure 13. Elbow and silhouette diagnostics</w:t>
      </w:r>
    </w:p>
    <w:p>
      <w:r>
        <w:t>Interpretation: K=4 produced the highest silhouette score among the evaluated candidates.</w:t>
      </w:r>
    </w:p>
    <w:p>
      <w:pPr>
        <w:pStyle w:val="Heading1"/>
      </w:pPr>
      <w:r>
        <w:t>12. Customer Segmentation Results</w:t>
      </w:r>
    </w:p>
    <w:tbl>
      <w:tblPr>
        <w:tblStyle w:val="LightShading-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Cluster ID</w:t>
            </w:r>
          </w:p>
        </w:tc>
        <w:tc>
          <w:tcPr>
            <w:tcW w:type="dxa" w:w="960"/>
          </w:tcPr>
          <w:p>
            <w:r>
              <w:t>Avg Age</w:t>
            </w:r>
          </w:p>
        </w:tc>
        <w:tc>
          <w:tcPr>
            <w:tcW w:type="dxa" w:w="960"/>
          </w:tcPr>
          <w:p>
            <w:r>
              <w:t>Avg Purchase</w:t>
            </w:r>
          </w:p>
        </w:tc>
        <w:tc>
          <w:tcPr>
            <w:tcW w:type="dxa" w:w="960"/>
          </w:tcPr>
          <w:p>
            <w:r>
              <w:t>Avg Frequency</w:t>
            </w:r>
          </w:p>
        </w:tc>
        <w:tc>
          <w:tcPr>
            <w:tcW w:type="dxa" w:w="960"/>
          </w:tcPr>
          <w:p>
            <w:r>
              <w:t>Avg Recency</w:t>
            </w:r>
          </w:p>
        </w:tc>
        <w:tc>
          <w:tcPr>
            <w:tcW w:type="dxa" w:w="960"/>
          </w:tcPr>
          <w:p>
            <w:r>
              <w:t>Customers</w:t>
            </w:r>
          </w:p>
        </w:tc>
        <w:tc>
          <w:tcPr>
            <w:tcW w:type="dxa" w:w="960"/>
          </w:tcPr>
          <w:p>
            <w:r>
              <w:t>Dominant Gender</w:t>
            </w:r>
          </w:p>
        </w:tc>
        <w:tc>
          <w:tcPr>
            <w:tcW w:type="dxa" w:w="960"/>
          </w:tcPr>
          <w:p>
            <w:r>
              <w:t>Dominant Category</w:t>
            </w:r>
          </w:p>
        </w:tc>
        <w:tc>
          <w:tcPr>
            <w:tcW w:type="dxa" w:w="960"/>
          </w:tcPr>
          <w:p>
            <w:r>
              <w:t>Segment Name</w:t>
            </w:r>
          </w:p>
        </w:tc>
      </w:tr>
      <w:tr>
        <w:tc>
          <w:tcPr>
            <w:tcW w:type="dxa" w:w="960"/>
          </w:tcPr>
          <w:p>
            <w:r>
              <w:t>0</w:t>
            </w:r>
          </w:p>
        </w:tc>
        <w:tc>
          <w:tcPr>
            <w:tcW w:type="dxa" w:w="960"/>
          </w:tcPr>
          <w:p>
            <w:r>
              <w:t>44.44</w:t>
            </w:r>
          </w:p>
        </w:tc>
        <w:tc>
          <w:tcPr>
            <w:tcW w:type="dxa" w:w="960"/>
          </w:tcPr>
          <w:p>
            <w:r>
              <w:t>1208.33</w:t>
            </w:r>
          </w:p>
        </w:tc>
        <w:tc>
          <w:tcPr>
            <w:tcW w:type="dxa" w:w="960"/>
          </w:tcPr>
          <w:p>
            <w:r>
              <w:t>2.50</w:t>
            </w:r>
          </w:p>
        </w:tc>
        <w:tc>
          <w:tcPr>
            <w:tcW w:type="dxa" w:w="960"/>
          </w:tcPr>
          <w:p>
            <w:r>
              <w:t>69.44</w:t>
            </w:r>
          </w:p>
        </w:tc>
        <w:tc>
          <w:tcPr>
            <w:tcW w:type="dxa" w:w="960"/>
          </w:tcPr>
          <w:p>
            <w:r>
              <w:t>18</w:t>
            </w:r>
          </w:p>
        </w:tc>
        <w:tc>
          <w:tcPr>
            <w:tcW w:type="dxa" w:w="960"/>
          </w:tcPr>
          <w:p>
            <w:r>
              <w:t>Male</w:t>
            </w:r>
          </w:p>
        </w:tc>
        <w:tc>
          <w:tcPr>
            <w:tcW w:type="dxa" w:w="960"/>
          </w:tcPr>
          <w:p>
            <w:r>
              <w:t>Grocery</w:t>
            </w:r>
          </w:p>
        </w:tc>
        <w:tc>
          <w:tcPr>
            <w:tcW w:type="dxa" w:w="960"/>
          </w:tcPr>
          <w:p>
            <w:r>
              <w:t>At-Risk Customers</w:t>
            </w:r>
          </w:p>
        </w:tc>
      </w:tr>
      <w:tr>
        <w:tc>
          <w:tcPr>
            <w:tcW w:type="dxa" w:w="960"/>
          </w:tcPr>
          <w:p>
            <w:r>
              <w:t>1</w:t>
            </w:r>
          </w:p>
        </w:tc>
        <w:tc>
          <w:tcPr>
            <w:tcW w:type="dxa" w:w="960"/>
          </w:tcPr>
          <w:p>
            <w:r>
              <w:t>47.38</w:t>
            </w:r>
          </w:p>
        </w:tc>
        <w:tc>
          <w:tcPr>
            <w:tcW w:type="dxa" w:w="960"/>
          </w:tcPr>
          <w:p>
            <w:r>
              <w:t>5903.12</w:t>
            </w:r>
          </w:p>
        </w:tc>
        <w:tc>
          <w:tcPr>
            <w:tcW w:type="dxa" w:w="960"/>
          </w:tcPr>
          <w:p>
            <w:r>
              <w:t>14.22</w:t>
            </w:r>
          </w:p>
        </w:tc>
        <w:tc>
          <w:tcPr>
            <w:tcW w:type="dxa" w:w="960"/>
          </w:tcPr>
          <w:p>
            <w:r>
              <w:t>6.25</w:t>
            </w:r>
          </w:p>
        </w:tc>
        <w:tc>
          <w:tcPr>
            <w:tcW w:type="dxa" w:w="960"/>
          </w:tcPr>
          <w:p>
            <w:r>
              <w:t>32</w:t>
            </w:r>
          </w:p>
        </w:tc>
        <w:tc>
          <w:tcPr>
            <w:tcW w:type="dxa" w:w="960"/>
          </w:tcPr>
          <w:p>
            <w:r>
              <w:t>Female</w:t>
            </w:r>
          </w:p>
        </w:tc>
        <w:tc>
          <w:tcPr>
            <w:tcW w:type="dxa" w:w="960"/>
          </w:tcPr>
          <w:p>
            <w:r>
              <w:t>Clothing</w:t>
            </w:r>
          </w:p>
        </w:tc>
        <w:tc>
          <w:tcPr>
            <w:tcW w:type="dxa" w:w="960"/>
          </w:tcPr>
          <w:p>
            <w:r>
              <w:t>High-Value Loyal Customers</w:t>
            </w:r>
          </w:p>
        </w:tc>
      </w:tr>
      <w:tr>
        <w:tc>
          <w:tcPr>
            <w:tcW w:type="dxa" w:w="960"/>
          </w:tcPr>
          <w:p>
            <w:r>
              <w:t>2</w:t>
            </w:r>
          </w:p>
        </w:tc>
        <w:tc>
          <w:tcPr>
            <w:tcW w:type="dxa" w:w="960"/>
          </w:tcPr>
          <w:p>
            <w:r>
              <w:t>33.09</w:t>
            </w:r>
          </w:p>
        </w:tc>
        <w:tc>
          <w:tcPr>
            <w:tcW w:type="dxa" w:w="960"/>
          </w:tcPr>
          <w:p>
            <w:r>
              <w:t>3757.81</w:t>
            </w:r>
          </w:p>
        </w:tc>
        <w:tc>
          <w:tcPr>
            <w:tcW w:type="dxa" w:w="960"/>
          </w:tcPr>
          <w:p>
            <w:r>
              <w:t>8.86</w:t>
            </w:r>
          </w:p>
        </w:tc>
        <w:tc>
          <w:tcPr>
            <w:tcW w:type="dxa" w:w="960"/>
          </w:tcPr>
          <w:p>
            <w:r>
              <w:t>17.38</w:t>
            </w:r>
          </w:p>
        </w:tc>
        <w:tc>
          <w:tcPr>
            <w:tcW w:type="dxa" w:w="960"/>
          </w:tcPr>
          <w:p>
            <w:r>
              <w:t>64</w:t>
            </w:r>
          </w:p>
        </w:tc>
        <w:tc>
          <w:tcPr>
            <w:tcW w:type="dxa" w:w="960"/>
          </w:tcPr>
          <w:p>
            <w:r>
              <w:t>Female</w:t>
            </w:r>
          </w:p>
        </w:tc>
        <w:tc>
          <w:tcPr>
            <w:tcW w:type="dxa" w:w="960"/>
          </w:tcPr>
          <w:p>
            <w:r>
              <w:t>Home Decor</w:t>
            </w:r>
          </w:p>
        </w:tc>
        <w:tc>
          <w:tcPr>
            <w:tcW w:type="dxa" w:w="960"/>
          </w:tcPr>
          <w:p>
            <w:r>
              <w:t>Regular Customers</w:t>
            </w:r>
          </w:p>
        </w:tc>
      </w:tr>
      <w:tr>
        <w:tc>
          <w:tcPr>
            <w:tcW w:type="dxa" w:w="960"/>
          </w:tcPr>
          <w:p>
            <w:r>
              <w:t>3</w:t>
            </w:r>
          </w:p>
        </w:tc>
        <w:tc>
          <w:tcPr>
            <w:tcW w:type="dxa" w:w="960"/>
          </w:tcPr>
          <w:p>
            <w:r>
              <w:t>26.75</w:t>
            </w:r>
          </w:p>
        </w:tc>
        <w:tc>
          <w:tcPr>
            <w:tcW w:type="dxa" w:w="960"/>
          </w:tcPr>
          <w:p>
            <w:r>
              <w:t>2000.00</w:t>
            </w:r>
          </w:p>
        </w:tc>
        <w:tc>
          <w:tcPr>
            <w:tcW w:type="dxa" w:w="960"/>
          </w:tcPr>
          <w:p>
            <w:r>
              <w:t>4.64</w:t>
            </w:r>
          </w:p>
        </w:tc>
        <w:tc>
          <w:tcPr>
            <w:tcW w:type="dxa" w:w="960"/>
          </w:tcPr>
          <w:p>
            <w:r>
              <w:t>39.50</w:t>
            </w:r>
          </w:p>
        </w:tc>
        <w:tc>
          <w:tcPr>
            <w:tcW w:type="dxa" w:w="960"/>
          </w:tcPr>
          <w:p>
            <w:r>
              <w:t>36</w:t>
            </w:r>
          </w:p>
        </w:tc>
        <w:tc>
          <w:tcPr>
            <w:tcW w:type="dxa" w:w="960"/>
          </w:tcPr>
          <w:p>
            <w:r>
              <w:t>Female</w:t>
            </w:r>
          </w:p>
        </w:tc>
        <w:tc>
          <w:tcPr>
            <w:tcW w:type="dxa" w:w="960"/>
          </w:tcPr>
          <w:p>
            <w:r>
              <w:t>Sports</w:t>
            </w:r>
          </w:p>
        </w:tc>
        <w:tc>
          <w:tcPr>
            <w:tcW w:type="dxa" w:w="960"/>
          </w:tcPr>
          <w:p>
            <w:r>
              <w:t>Regular Customers</w:t>
            </w:r>
          </w:p>
        </w:tc>
      </w:tr>
    </w:tbl>
    <w:p>
      <w:r>
        <w:t>Names are assigned from observed relative profiles: high purchase and at least median frequency produces High-Value Loyal Customers; high recency produces At-Risk Customers; high frequency produces Frequent Customers; remaining profiles are Regular Customers. Where a segment name is reused, it reflects the same rule and should be read with the numeric profile.</w:t>
      </w:r>
    </w:p>
    <w:p>
      <w:pPr>
        <w:jc w:val="center"/>
      </w:pPr>
      <w:r>
        <w:drawing>
          <wp:inline xmlns:a="http://schemas.openxmlformats.org/drawingml/2006/main" xmlns:pic="http://schemas.openxmlformats.org/drawingml/2006/picture">
            <wp:extent cx="5715000" cy="3214688"/>
            <wp:docPr id="14" name="Picture 14"/>
            <wp:cNvGraphicFramePr>
              <a:graphicFrameLocks noChangeAspect="1"/>
            </wp:cNvGraphicFramePr>
            <a:graphic>
              <a:graphicData uri="http://schemas.openxmlformats.org/drawingml/2006/picture">
                <pic:pic>
                  <pic:nvPicPr>
                    <pic:cNvPr id="0" name="13_cluster_distribution.png"/>
                    <pic:cNvPicPr/>
                  </pic:nvPicPr>
                  <pic:blipFill>
                    <a:blip r:embed="rId23"/>
                    <a:stretch>
                      <a:fillRect/>
                    </a:stretch>
                  </pic:blipFill>
                  <pic:spPr>
                    <a:xfrm>
                      <a:off x="0" y="0"/>
                      <a:ext cx="5715000" cy="3214688"/>
                    </a:xfrm>
                    <a:prstGeom prst="rect"/>
                  </pic:spPr>
                </pic:pic>
              </a:graphicData>
            </a:graphic>
          </wp:inline>
        </w:drawing>
      </w:r>
    </w:p>
    <w:p>
      <w:pPr>
        <w:jc w:val="center"/>
      </w:pPr>
      <w:r>
        <w:rPr>
          <w:b/>
        </w:rPr>
        <w:t>Figure 14. Cluster distribution</w:t>
      </w:r>
    </w:p>
    <w:p>
      <w:r>
        <w:t>Interpretation: Cluster colours show relative group membership; PCA is a two-dimensional projection and does not preserve every original dimension.</w:t>
      </w:r>
    </w:p>
    <w:p>
      <w:pPr>
        <w:jc w:val="center"/>
      </w:pPr>
      <w:r>
        <w:drawing>
          <wp:inline xmlns:a="http://schemas.openxmlformats.org/drawingml/2006/main" xmlns:pic="http://schemas.openxmlformats.org/drawingml/2006/picture">
            <wp:extent cx="5715000" cy="3768311"/>
            <wp:docPr id="15" name="Picture 15"/>
            <wp:cNvGraphicFramePr>
              <a:graphicFrameLocks noChangeAspect="1"/>
            </wp:cNvGraphicFramePr>
            <a:graphic>
              <a:graphicData uri="http://schemas.openxmlformats.org/drawingml/2006/picture">
                <pic:pic>
                  <pic:nvPicPr>
                    <pic:cNvPr id="0" name="14_cluster_frequency_purchase.png"/>
                    <pic:cNvPicPr/>
                  </pic:nvPicPr>
                  <pic:blipFill>
                    <a:blip r:embed="rId24"/>
                    <a:stretch>
                      <a:fillRect/>
                    </a:stretch>
                  </pic:blipFill>
                  <pic:spPr>
                    <a:xfrm>
                      <a:off x="0" y="0"/>
                      <a:ext cx="5715000" cy="3768311"/>
                    </a:xfrm>
                    <a:prstGeom prst="rect"/>
                  </pic:spPr>
                </pic:pic>
              </a:graphicData>
            </a:graphic>
          </wp:inline>
        </w:drawing>
      </w:r>
    </w:p>
    <w:p>
      <w:pPr>
        <w:jc w:val="center"/>
      </w:pPr>
      <w:r>
        <w:rPr>
          <w:b/>
        </w:rPr>
        <w:t>Figure 15. Cluster frequency and purchase amount</w:t>
      </w:r>
    </w:p>
    <w:p>
      <w:r>
        <w:t>Interpretation: Cluster colours show relative group membership; PCA is a two-dimensional projection and does not preserve every original dimension.</w:t>
      </w:r>
    </w:p>
    <w:p>
      <w:pPr>
        <w:jc w:val="center"/>
      </w:pPr>
      <w:r>
        <w:drawing>
          <wp:inline xmlns:a="http://schemas.openxmlformats.org/drawingml/2006/main" xmlns:pic="http://schemas.openxmlformats.org/drawingml/2006/picture">
            <wp:extent cx="5715000" cy="3768311"/>
            <wp:docPr id="16" name="Picture 16"/>
            <wp:cNvGraphicFramePr>
              <a:graphicFrameLocks noChangeAspect="1"/>
            </wp:cNvGraphicFramePr>
            <a:graphic>
              <a:graphicData uri="http://schemas.openxmlformats.org/drawingml/2006/picture">
                <pic:pic>
                  <pic:nvPicPr>
                    <pic:cNvPr id="0" name="15_cluster_recency_purchase.png"/>
                    <pic:cNvPicPr/>
                  </pic:nvPicPr>
                  <pic:blipFill>
                    <a:blip r:embed="rId25"/>
                    <a:stretch>
                      <a:fillRect/>
                    </a:stretch>
                  </pic:blipFill>
                  <pic:spPr>
                    <a:xfrm>
                      <a:off x="0" y="0"/>
                      <a:ext cx="5715000" cy="3768311"/>
                    </a:xfrm>
                    <a:prstGeom prst="rect"/>
                  </pic:spPr>
                </pic:pic>
              </a:graphicData>
            </a:graphic>
          </wp:inline>
        </w:drawing>
      </w:r>
    </w:p>
    <w:p>
      <w:pPr>
        <w:jc w:val="center"/>
      </w:pPr>
      <w:r>
        <w:rPr>
          <w:b/>
        </w:rPr>
        <w:t>Figure 16. Cluster recency and purchase amount</w:t>
      </w:r>
    </w:p>
    <w:p>
      <w:r>
        <w:t>Interpretation: Cluster colours show relative group membership; PCA is a two-dimensional projection and does not preserve every original dimension.</w:t>
      </w:r>
    </w:p>
    <w:p>
      <w:pPr>
        <w:jc w:val="center"/>
      </w:pPr>
      <w:r>
        <w:drawing>
          <wp:inline xmlns:a="http://schemas.openxmlformats.org/drawingml/2006/main" xmlns:pic="http://schemas.openxmlformats.org/drawingml/2006/picture">
            <wp:extent cx="5715000" cy="3768311"/>
            <wp:docPr id="17" name="Picture 17"/>
            <wp:cNvGraphicFramePr>
              <a:graphicFrameLocks noChangeAspect="1"/>
            </wp:cNvGraphicFramePr>
            <a:graphic>
              <a:graphicData uri="http://schemas.openxmlformats.org/drawingml/2006/picture">
                <pic:pic>
                  <pic:nvPicPr>
                    <pic:cNvPr id="0" name="16_cluster_age_purchase.png"/>
                    <pic:cNvPicPr/>
                  </pic:nvPicPr>
                  <pic:blipFill>
                    <a:blip r:embed="rId26"/>
                    <a:stretch>
                      <a:fillRect/>
                    </a:stretch>
                  </pic:blipFill>
                  <pic:spPr>
                    <a:xfrm>
                      <a:off x="0" y="0"/>
                      <a:ext cx="5715000" cy="3768311"/>
                    </a:xfrm>
                    <a:prstGeom prst="rect"/>
                  </pic:spPr>
                </pic:pic>
              </a:graphicData>
            </a:graphic>
          </wp:inline>
        </w:drawing>
      </w:r>
    </w:p>
    <w:p>
      <w:pPr>
        <w:jc w:val="center"/>
      </w:pPr>
      <w:r>
        <w:rPr>
          <w:b/>
        </w:rPr>
        <w:t>Figure 17. Cluster age and purchase amount</w:t>
      </w:r>
    </w:p>
    <w:p>
      <w:r>
        <w:t>Interpretation: Cluster colours show relative group membership; PCA is a two-dimensional projection and does not preserve every original dimension.</w:t>
      </w:r>
    </w:p>
    <w:p>
      <w:pPr>
        <w:jc w:val="center"/>
      </w:pPr>
      <w:r>
        <w:drawing>
          <wp:inline xmlns:a="http://schemas.openxmlformats.org/drawingml/2006/main" xmlns:pic="http://schemas.openxmlformats.org/drawingml/2006/picture">
            <wp:extent cx="5715000" cy="3764729"/>
            <wp:docPr id="18" name="Picture 18"/>
            <wp:cNvGraphicFramePr>
              <a:graphicFrameLocks noChangeAspect="1"/>
            </wp:cNvGraphicFramePr>
            <a:graphic>
              <a:graphicData uri="http://schemas.openxmlformats.org/drawingml/2006/picture">
                <pic:pic>
                  <pic:nvPicPr>
                    <pic:cNvPr id="0" name="17_pca_clusters.png"/>
                    <pic:cNvPicPr/>
                  </pic:nvPicPr>
                  <pic:blipFill>
                    <a:blip r:embed="rId27"/>
                    <a:stretch>
                      <a:fillRect/>
                    </a:stretch>
                  </pic:blipFill>
                  <pic:spPr>
                    <a:xfrm>
                      <a:off x="0" y="0"/>
                      <a:ext cx="5715000" cy="3764729"/>
                    </a:xfrm>
                    <a:prstGeom prst="rect"/>
                  </pic:spPr>
                </pic:pic>
              </a:graphicData>
            </a:graphic>
          </wp:inline>
        </w:drawing>
      </w:r>
    </w:p>
    <w:p>
      <w:pPr>
        <w:jc w:val="center"/>
      </w:pPr>
      <w:r>
        <w:rPr>
          <w:b/>
        </w:rPr>
        <w:t>Figure 18. PCA cluster projection</w:t>
      </w:r>
    </w:p>
    <w:p>
      <w:r>
        <w:t>Interpretation: Cluster colours show relative group membership; PCA is a two-dimensional projection and does not preserve every original dimension.</w:t>
      </w:r>
    </w:p>
    <w:p>
      <w:pPr>
        <w:jc w:val="center"/>
      </w:pPr>
      <w:r>
        <w:drawing>
          <wp:inline xmlns:a="http://schemas.openxmlformats.org/drawingml/2006/main" xmlns:pic="http://schemas.openxmlformats.org/drawingml/2006/picture">
            <wp:extent cx="5715000" cy="3371509"/>
            <wp:docPr id="19" name="Picture 19"/>
            <wp:cNvGraphicFramePr>
              <a:graphicFrameLocks noChangeAspect="1"/>
            </wp:cNvGraphicFramePr>
            <a:graphic>
              <a:graphicData uri="http://schemas.openxmlformats.org/drawingml/2006/picture">
                <pic:pic>
                  <pic:nvPicPr>
                    <pic:cNvPr id="0" name="18_cluster_profile_heatmap.png"/>
                    <pic:cNvPicPr/>
                  </pic:nvPicPr>
                  <pic:blipFill>
                    <a:blip r:embed="rId28"/>
                    <a:stretch>
                      <a:fillRect/>
                    </a:stretch>
                  </pic:blipFill>
                  <pic:spPr>
                    <a:xfrm>
                      <a:off x="0" y="0"/>
                      <a:ext cx="5715000" cy="3371509"/>
                    </a:xfrm>
                    <a:prstGeom prst="rect"/>
                  </pic:spPr>
                </pic:pic>
              </a:graphicData>
            </a:graphic>
          </wp:inline>
        </w:drawing>
      </w:r>
    </w:p>
    <w:p>
      <w:pPr>
        <w:jc w:val="center"/>
      </w:pPr>
      <w:r>
        <w:rPr>
          <w:b/>
        </w:rPr>
        <w:t>Figure 19. Standardized cluster profile</w:t>
      </w:r>
    </w:p>
    <w:p>
      <w:r>
        <w:t>Interpretation: Cluster colours show relative group membership; PCA is a two-dimensional projection and does not preserve every original dimension.</w:t>
      </w:r>
    </w:p>
    <w:p>
      <w:pPr>
        <w:pStyle w:val="Heading1"/>
      </w:pPr>
      <w:r>
        <w:t>13. Statistical Analysis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Research question</w:t>
            </w:r>
          </w:p>
        </w:tc>
        <w:tc>
          <w:tcPr>
            <w:tcW w:type="dxa" w:w="1728"/>
          </w:tcPr>
          <w:p>
            <w:r>
              <w:t>Method</w:t>
            </w:r>
          </w:p>
        </w:tc>
        <w:tc>
          <w:tcPr>
            <w:tcW w:type="dxa" w:w="1728"/>
          </w:tcPr>
          <w:p>
            <w:r>
              <w:t>Statistic</w:t>
            </w:r>
          </w:p>
        </w:tc>
        <w:tc>
          <w:tcPr>
            <w:tcW w:type="dxa" w:w="1728"/>
          </w:tcPr>
          <w:p>
            <w:r>
              <w:t>p-value</w:t>
            </w:r>
          </w:p>
        </w:tc>
        <w:tc>
          <w:tcPr>
            <w:tcW w:type="dxa" w:w="1728"/>
          </w:tcPr>
          <w:p>
            <w:r>
              <w:t>Interpretation</w:t>
            </w:r>
          </w:p>
        </w:tc>
      </w:tr>
      <w:tr>
        <w:tc>
          <w:tcPr>
            <w:tcW w:type="dxa" w:w="1728"/>
          </w:tcPr>
          <w:p>
            <w:r>
              <w:t>Purchase differs by gender</w:t>
            </w:r>
          </w:p>
        </w:tc>
        <w:tc>
          <w:tcPr>
            <w:tcW w:type="dxa" w:w="1728"/>
          </w:tcPr>
          <w:p>
            <w:r>
              <w:t>Welch t-test</w:t>
            </w:r>
          </w:p>
        </w:tc>
        <w:tc>
          <w:tcPr>
            <w:tcW w:type="dxa" w:w="1728"/>
          </w:tcPr>
          <w:p>
            <w:r>
              <w:t>-4.326</w:t>
            </w:r>
          </w:p>
        </w:tc>
        <w:tc>
          <w:tcPr>
            <w:tcW w:type="dxa" w:w="1728"/>
          </w:tcPr>
          <w:p>
            <w:r>
              <w:t>0.0000</w:t>
            </w:r>
          </w:p>
        </w:tc>
        <w:tc>
          <w:tcPr>
            <w:tcW w:type="dxa" w:w="1728"/>
          </w:tcPr>
          <w:p>
            <w:r>
              <w:t>Reject H0</w:t>
            </w:r>
          </w:p>
        </w:tc>
      </w:tr>
      <w:tr>
        <w:tc>
          <w:tcPr>
            <w:tcW w:type="dxa" w:w="1728"/>
          </w:tcPr>
          <w:p>
            <w:r>
              <w:t>Purchase associated with frequency</w:t>
            </w:r>
          </w:p>
        </w:tc>
        <w:tc>
          <w:tcPr>
            <w:tcW w:type="dxa" w:w="1728"/>
          </w:tcPr>
          <w:p>
            <w:r>
              <w:t>Spearman correlation</w:t>
            </w:r>
          </w:p>
        </w:tc>
        <w:tc>
          <w:tcPr>
            <w:tcW w:type="dxa" w:w="1728"/>
          </w:tcPr>
          <w:p>
            <w:r>
              <w:t>0.995</w:t>
            </w:r>
          </w:p>
        </w:tc>
        <w:tc>
          <w:tcPr>
            <w:tcW w:type="dxa" w:w="1728"/>
          </w:tcPr>
          <w:p>
            <w:r>
              <w:t>0.0000</w:t>
            </w:r>
          </w:p>
        </w:tc>
        <w:tc>
          <w:tcPr>
            <w:tcW w:type="dxa" w:w="1728"/>
          </w:tcPr>
          <w:p>
            <w:r>
              <w:t>Significant at 0.05</w:t>
            </w:r>
          </w:p>
        </w:tc>
      </w:tr>
      <w:tr>
        <w:tc>
          <w:tcPr>
            <w:tcW w:type="dxa" w:w="1728"/>
          </w:tcPr>
          <w:p>
            <w:r>
              <w:t>Recency associated with spending</w:t>
            </w:r>
          </w:p>
        </w:tc>
        <w:tc>
          <w:tcPr>
            <w:tcW w:type="dxa" w:w="1728"/>
          </w:tcPr>
          <w:p>
            <w:r>
              <w:t>Spearman correlation</w:t>
            </w:r>
          </w:p>
        </w:tc>
        <w:tc>
          <w:tcPr>
            <w:tcW w:type="dxa" w:w="1728"/>
          </w:tcPr>
          <w:p>
            <w:r>
              <w:t>-0.974</w:t>
            </w:r>
          </w:p>
        </w:tc>
        <w:tc>
          <w:tcPr>
            <w:tcW w:type="dxa" w:w="1728"/>
          </w:tcPr>
          <w:p>
            <w:r>
              <w:t>0.0000</w:t>
            </w:r>
          </w:p>
        </w:tc>
        <w:tc>
          <w:tcPr>
            <w:tcW w:type="dxa" w:w="1728"/>
          </w:tcPr>
          <w:p>
            <w:r>
              <w:t>Significant at 0.05</w:t>
            </w:r>
          </w:p>
        </w:tc>
      </w:tr>
      <w:tr>
        <w:tc>
          <w:tcPr>
            <w:tcW w:type="dxa" w:w="1728"/>
          </w:tcPr>
          <w:p>
            <w:r>
              <w:t>Spending differs by category</w:t>
            </w:r>
          </w:p>
        </w:tc>
        <w:tc>
          <w:tcPr>
            <w:tcW w:type="dxa" w:w="1728"/>
          </w:tcPr>
          <w:p>
            <w:r>
              <w:t>One-way ANOVA</w:t>
            </w:r>
          </w:p>
        </w:tc>
        <w:tc>
          <w:tcPr>
            <w:tcW w:type="dxa" w:w="1728"/>
          </w:tcPr>
          <w:p>
            <w:r>
              <w:t>21.666</w:t>
            </w:r>
          </w:p>
        </w:tc>
        <w:tc>
          <w:tcPr>
            <w:tcW w:type="dxa" w:w="1728"/>
          </w:tcPr>
          <w:p>
            <w:r>
              <w:t>0.0000</w:t>
            </w:r>
          </w:p>
        </w:tc>
        <w:tc>
          <w:tcPr>
            <w:tcW w:type="dxa" w:w="1728"/>
          </w:tcPr>
          <w:p>
            <w:r>
              <w:t>Significant at 0.05</w:t>
            </w:r>
          </w:p>
        </w:tc>
      </w:tr>
    </w:tbl>
    <w:p>
      <w:r>
        <w:t>For each test, H0 states that there is no group difference or association, while H1 states that a difference or association exists. A 0.05 threshold is used. Statistical significance is not evidence of causation.</w:t>
      </w:r>
    </w:p>
    <w:p>
      <w:pPr>
        <w:pStyle w:val="Heading1"/>
      </w:pPr>
      <w:r>
        <w:t>14. Business Insights and Recommendations</w:t>
      </w:r>
    </w:p>
    <w:p>
      <w:pPr>
        <w:pStyle w:val="ListBullet"/>
      </w:pPr>
      <w:r>
        <w:t>Prioritize High-Value Loyal Customers with retention rewards because this group has the highest average purchase amount (5,903).</w:t>
      </w:r>
    </w:p>
    <w:p>
      <w:pPr>
        <w:pStyle w:val="ListBullet"/>
      </w:pPr>
      <w:r>
        <w:t>Use frequency-led loyalty campaigns for High-Value Loyal Customers, which has the highest average frequency (14.2).</w:t>
      </w:r>
    </w:p>
    <w:p>
      <w:pPr>
        <w:pStyle w:val="ListBullet"/>
      </w:pPr>
      <w:r>
        <w:t>Develop category-specific merchandising for Clothing, the most represented category with 26 customers.</w:t>
      </w:r>
    </w:p>
    <w:p>
      <w:pPr>
        <w:pStyle w:val="ListBullet"/>
      </w:pPr>
      <w:r>
        <w:t>Create a re-engagement audience from customers at or above the 75th percentile of recency (36); this is a behavioural flag, not a confirmed churn label.</w:t>
      </w:r>
    </w:p>
    <w:p>
      <w:pPr>
        <w:pStyle w:val="ListBullet"/>
      </w:pPr>
      <w:r>
        <w:t>Use PCA and cluster charts for communication, but make campaign decisions from the original feature profiles rather than the two-dimensional projection.</w:t>
      </w:r>
    </w:p>
    <w:p>
      <w:pPr>
        <w:pStyle w:val="Heading1"/>
      </w:pPr>
      <w:r>
        <w:t>15. Streamlit Dashboard</w:t>
      </w:r>
    </w:p>
    <w:p>
      <w:r>
        <w:t>The app.py dashboard supports file upload and local fallback, executive KPIs, demographic and behaviour filters, RFM inspection, cluster diagnostics and profiles, customer-level exploration, business insights, and CSV downloads. Input validation gives users a helpful error for missing columns, malformed files, or invalid numeric values.</w:t>
      </w:r>
    </w:p>
    <w:p>
      <w:pPr>
        <w:pStyle w:val="Heading1"/>
      </w:pPr>
      <w:r>
        <w:t>16. Limitations</w:t>
      </w:r>
    </w:p>
    <w:p>
      <w:r>
        <w:t>This is a small customer-level dataset with no transaction timestamps, transaction lines, product attributes, explicit churn label, or customer lifetime value. Recency is a supplied numeric measure rather than a date-derived metric. K-Means results depend on the selected features, scaling, and this sample. Statistical tests are observational and should be confirmed with larger data.</w:t>
      </w:r>
    </w:p>
    <w:p>
      <w:pPr>
        <w:pStyle w:val="Heading1"/>
      </w:pPr>
      <w:r>
        <w:t>17. Future Scope</w:t>
      </w:r>
    </w:p>
    <w:p>
      <w:r>
        <w:t>Future work could add transaction-level CLV, churn prediction, recommendation systems, time-series purchase analysis, real-time segmentation, larger datasets, and personalized campaign automation.</w:t>
      </w:r>
    </w:p>
    <w:p>
      <w:pPr>
        <w:pStyle w:val="Heading1"/>
      </w:pPr>
      <w:r>
        <w:t>18. Conclusion</w:t>
      </w:r>
    </w:p>
    <w:p>
      <w:r>
        <w:t>The project turns the supplied 150-record dataset into a reproducible customer intelligence workflow. It combines transparent data checks, descriptive EDA, quantile-based RFM scoring, and silhouette-evaluated K-Means segmentation. The resulting profiles support differentiated retention, loyalty, category, and re-engagement strategies while respecting the dataset's limits and avoiding unsupported causal claims.</w:t>
      </w:r>
    </w:p>
    <w:sectPr w:rsidR="00FC693F" w:rsidRPr="0006063C" w:rsidSect="00034616">
      <w:foot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Tithi Mandal | E-Commerce Customer Behaviour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