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6.2 后端开发采用多应用模式</w:t>
      </w:r>
    </w:p>
    <w:p>
      <w:pPr>
        <w:spacing w:after="50" w:line="360" w:lineRule="auto" w:beforeLines="100"/>
        <w:ind w:left="0"/>
        <w:jc w:val="left"/>
      </w:pPr>
      <w:bookmarkStart w:name="ua57564c1" w:id="0"/>
      <w:r>
        <w:rPr>
          <w:rFonts w:ascii="宋体" w:hAnsi="Times New Roman" w:eastAsia="宋体"/>
          <w:b w:val="false"/>
          <w:i w:val="false"/>
          <w:color w:val="000000"/>
          <w:sz w:val="24"/>
        </w:rPr>
        <w:t>基于该志愿者管理系统的项目特点，结合ThinkPHP框架特性及「搜索结果」中描述的技术需求，</w:t>
      </w:r>
      <w:r>
        <w:rPr>
          <w:rFonts w:ascii="宋体" w:hAnsi="Times New Roman" w:eastAsia="宋体"/>
          <w:b/>
          <w:i w:val="false"/>
          <w:color w:val="000000"/>
          <w:sz w:val="24"/>
        </w:rPr>
        <w:t>推荐使用多应用模式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。以下是详细分析：</w:t>
      </w:r>
    </w:p>
    <w:bookmarkEnd w:id="0"/>
    <w:bookmarkStart w:name="JD3lx" w:id="1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"/>
    <w:bookmarkStart w:name="b830c957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一、项目特性要求多应用模式</w:t>
      </w:r>
    </w:p>
    <w:bookmarkEnd w:id="2"/>
    <w:bookmarkStart w:name="u69a6201e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多角色入口需求</w:t>
      </w:r>
    </w:p>
    <w:bookmarkEnd w:id="3"/>
    <w:bookmarkStart w:name="u5ebb8c50" w:id="4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管理员后台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：需独立处理活动发布、积分商品审核等高权限操作</w:t>
      </w:r>
    </w:p>
    <w:bookmarkEnd w:id="4"/>
    <w:bookmarkStart w:name="u8b5406cd" w:id="5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志愿者后台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：仅允许报名、查看积分等基础功能</w:t>
      </w:r>
    </w:p>
    <w:bookmarkEnd w:id="5"/>
    <w:bookmarkStart w:name="ub926f5dc" w:id="6"/>
    <w:p>
      <w:pPr>
        <w:numPr>
          <w:ilvl w:val="1"/>
          <w:numId w:val="2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微信小程序API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：需单独接口处理签到、照片上传等移动端交互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多应用模式可将三者拆分为 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admin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、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index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、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api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三个独立应用，实现权限和逻辑隔离。</w:t>
      </w:r>
    </w:p>
    <w:bookmarkEnd w:id="6"/>
    <w:bookmarkStart w:name="u8b8cdb01" w:id="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权限分层明显</w:t>
      </w:r>
    </w:p>
    <w:bookmarkEnd w:id="7"/>
    <w:bookmarkStart w:name="uf1b285da" w:id="8"/>
    <w:p>
      <w:pPr>
        <w:numPr>
          <w:ilvl w:val="1"/>
          <w:numId w:val="4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管理员需严格RBAC权限控制，志愿者仅需基础登录验证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多应用模式下可为每个应用独立配置中间件：</w:t>
      </w:r>
    </w:p>
    <w:bookmarkEnd w:id="8"/>
    <w:bookmarkStart w:name="i18SK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php</w:t>
        <w:br/>
        <w:t/>
        <w:br/>
        <w:t>复制</w:t>
        <w:br/>
        <w:t xml:space="preserve">// admin应用全局中间件 </w:t>
        <w:br/>
        <w:t>'middleware' =&gt; [</w:t>
        <w:br/>
        <w:t xml:space="preserve">    \app\admin\middleware\AuthCheck::class,</w:t>
        <w:br/>
        <w:t xml:space="preserve">    \app\admin\middleware\OperationLog::class </w:t>
        <w:br/>
        <w:t>]</w:t>
        <w:br/>
      </w:r>
    </w:p>
    <w:bookmarkEnd w:id="9"/>
    <w:bookmarkStart w:name="u2607d2a3" w:id="1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代码可维护性要求高</w:t>
      </w:r>
    </w:p>
    <w:bookmarkEnd w:id="10"/>
    <w:bookmarkStart w:name="u9c9e4bb0" w:id="11"/>
    <w:p>
      <w:pPr>
        <w:numPr>
          <w:ilvl w:val="1"/>
          <w:numId w:val="6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党支部、科室、岗位等模块需独立数据表（如附件一、二）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多应用模式下可通过 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app/admin/model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和 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app/index/model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分离管理模型，避免单应用模型文件臃肿。</w:t>
      </w:r>
    </w:p>
    <w:bookmarkEnd w:id="11"/>
    <w:bookmarkStart w:name="yEAUX" w:id="12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2"/>
    <w:bookmarkStart w:name="ad47ae19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二、多应用模式核心优势</w:t>
      </w:r>
    </w:p>
    <w:bookmarkEnd w:id="13"/>
    <w:bookmarkStart w:name="G5uJO" w:id="1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95"/>
        <w:gridCol w:w="4832"/>
        <w:gridCol w:w="4407"/>
      </w:tblGrid>
      <w:tr>
        <w:trPr>
          <w:trHeight w:val="495" w:hRule="atLeast"/>
        </w:trPr>
        <w:tc>
          <w:tcPr>
            <w:tcW w:w="43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4858cd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对比维度</w:t>
            </w:r>
          </w:p>
          <w:bookmarkEnd w:id="15"/>
        </w:tc>
        <w:tc>
          <w:tcPr>
            <w:tcW w:w="48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e11bdc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多应用模式优势</w:t>
            </w:r>
          </w:p>
          <w:bookmarkEnd w:id="16"/>
        </w:tc>
        <w:tc>
          <w:tcPr>
            <w:tcW w:w="4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4ed020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单应用模式局限性</w:t>
            </w:r>
          </w:p>
          <w:bookmarkEnd w:id="17"/>
        </w:tc>
      </w:tr>
      <w:tr>
        <w:trPr>
          <w:trHeight w:val="495" w:hRule="atLeast"/>
        </w:trPr>
        <w:tc>
          <w:tcPr>
            <w:tcW w:w="43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7d476d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路由管理</w:t>
            </w:r>
          </w:p>
          <w:bookmarkEnd w:id="18"/>
        </w:tc>
        <w:tc>
          <w:tcPr>
            <w:tcW w:w="48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e74001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各应用独立路由文件（如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 xml:space="preserve"> </w:t>
            </w:r>
            <w:r>
              <w:rPr>
                <w:rFonts w:ascii="宋体" w:hAnsi="Courier New" w:eastAsia="宋体"/>
                <w:b w:val="false"/>
                <w:i w:val="false"/>
                <w:color w:val="000000"/>
                <w:sz w:val="19"/>
              </w:rPr>
              <w:t>admin/route/admin.php</w:t>
            </w:r>
          </w:p>
          <w:bookmarkEnd w:id="19"/>
          <w:bookmarkStart w:name="ufff22cba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 xml:space="preserve"> ），避免路由冲突</w:t>
            </w:r>
          </w:p>
          <w:bookmarkEnd w:id="20"/>
        </w:tc>
        <w:tc>
          <w:tcPr>
            <w:tcW w:w="4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072bf9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所有路由混在单一文件，维护困难</w:t>
            </w:r>
          </w:p>
          <w:bookmarkEnd w:id="21"/>
        </w:tc>
      </w:tr>
      <w:tr>
        <w:trPr>
          <w:trHeight w:val="495" w:hRule="atLeast"/>
        </w:trPr>
        <w:tc>
          <w:tcPr>
            <w:tcW w:w="43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08e1c1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配置隔离</w:t>
            </w:r>
          </w:p>
          <w:bookmarkEnd w:id="22"/>
        </w:tc>
        <w:tc>
          <w:tcPr>
            <w:tcW w:w="48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7f4174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可自定义各应用的数据库连接、缓存策略等（如管理员日志存独立库）</w:t>
            </w:r>
          </w:p>
          <w:bookmarkEnd w:id="23"/>
        </w:tc>
        <w:tc>
          <w:tcPr>
            <w:tcW w:w="4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eac3d3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全局配置无法差异化</w:t>
            </w:r>
          </w:p>
          <w:bookmarkEnd w:id="24"/>
        </w:tc>
      </w:tr>
      <w:tr>
        <w:trPr>
          <w:trHeight w:val="495" w:hRule="atLeast"/>
        </w:trPr>
        <w:tc>
          <w:tcPr>
            <w:tcW w:w="43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de6eb0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扩展性</w:t>
            </w:r>
          </w:p>
          <w:bookmarkEnd w:id="25"/>
        </w:tc>
        <w:tc>
          <w:tcPr>
            <w:tcW w:w="48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7ccf1f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新增功能模块（如未来增加数据分析平台）可直接创建新应用，无需修改原有结构</w:t>
            </w:r>
          </w:p>
          <w:bookmarkEnd w:id="26"/>
        </w:tc>
        <w:tc>
          <w:tcPr>
            <w:tcW w:w="4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dd7e68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需在现有结构中新增控制器/模型，耦合度高</w:t>
            </w:r>
          </w:p>
          <w:bookmarkEnd w:id="27"/>
        </w:tc>
      </w:tr>
      <w:tr>
        <w:trPr>
          <w:trHeight w:val="495" w:hRule="atLeast"/>
        </w:trPr>
        <w:tc>
          <w:tcPr>
            <w:tcW w:w="43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f07c26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部署灵活性</w:t>
            </w:r>
          </w:p>
          <w:bookmarkEnd w:id="28"/>
        </w:tc>
        <w:tc>
          <w:tcPr>
            <w:tcW w:w="48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826da0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可对高并发接口（如小程序API）单独部署负载均衡</w:t>
            </w:r>
          </w:p>
          <w:bookmarkEnd w:id="29"/>
        </w:tc>
        <w:tc>
          <w:tcPr>
            <w:tcW w:w="4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4c27fc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所有功能必须整体部署</w:t>
            </w:r>
          </w:p>
          <w:bookmarkEnd w:id="30"/>
        </w:tc>
      </w:tr>
    </w:tbl>
    <w:bookmarkEnd w:id="14"/>
    <w:bookmarkStart w:name="LP9Wo" w:id="31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31"/>
    <w:bookmarkStart w:name="0327583b" w:id="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三、推荐的多应用结构设计</w:t>
      </w:r>
    </w:p>
    <w:bookmarkEnd w:id="32"/>
    <w:bookmarkStart w:name="il8c9" w:id="3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app/</w:t>
        <w:br/>
        <w:t xml:space="preserve">├── admin/          # 管理员后台应用 </w:t>
        <w:br/>
        <w:t xml:space="preserve">│   ├── controller/ # 活动管理、审批模块 </w:t>
        <w:br/>
        <w:t xml:space="preserve">│   ├── middleware/ # 操作日志、权限校验 </w:t>
        <w:br/>
        <w:t xml:space="preserve">│   └── route/      # 管理端专属路由 </w:t>
        <w:br/>
        <w:t xml:space="preserve">├── index/          # 志愿者PC端应用 </w:t>
        <w:br/>
        <w:t xml:space="preserve">│   ├── controller/ # 报名、积分查询 </w:t>
        <w:br/>
        <w:t xml:space="preserve">│   └── route/      # 志愿者功能路由  </w:t>
        <w:br/>
        <w:t xml:space="preserve">└── api/            # 微信小程序接口 </w:t>
        <w:br/>
        <w:t xml:space="preserve">    ├── controller/ # 签到、照片上传 </w:t>
        <w:br/>
        <w:t xml:space="preserve">    └── route/      # API路由（JWT鉴权）</w:t>
        <w:br/>
      </w:r>
    </w:p>
    <w:bookmarkEnd w:id="33"/>
    <w:bookmarkStart w:name="hH8NJ" w:id="34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34"/>
    <w:bookmarkStart w:name="1a2dcfdd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四、需注意的适配点</w:t>
      </w:r>
    </w:p>
    <w:bookmarkEnd w:id="35"/>
    <w:bookmarkStart w:name="u7ac2e752" w:id="36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公共组件复用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在项目根目录创建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common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目录存放跨应用公共类（如JWT工具、科室数据模型）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6aff"/>
            <w:sz w:val="24"/>
          </w:rPr>
          <w:t>3DOC</w:t>
        </w:r>
      </w:hyperlink>
      <w:r>
        <w:rPr>
          <w:rFonts w:ascii="宋体" w:hAnsi="Times New Roman" w:eastAsia="宋体"/>
          <w:b w:val="false"/>
          <w:i w:val="false"/>
          <w:color w:val="000000"/>
          <w:sz w:val="24"/>
        </w:rPr>
        <w:t>：</w:t>
      </w:r>
    </w:p>
    <w:bookmarkEnd w:id="36"/>
    <w:bookmarkStart w:name="IxSa9" w:id="3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php</w:t>
        <w:br/>
        <w:t/>
        <w:br/>
        <w:t>复制</w:t>
        <w:br/>
        <w:t xml:space="preserve">// common/service/JwtService.php  </w:t>
        <w:br/>
        <w:t>class JwtService {</w:t>
        <w:br/>
        <w:t xml:space="preserve">    // 生成/验证Token方法 </w:t>
        <w:br/>
        <w:t>}</w:t>
        <w:br/>
      </w:r>
    </w:p>
    <w:bookmarkEnd w:id="37"/>
    <w:bookmarkStart w:name="u4658c036" w:id="38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跨应用调用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若需在管理员后台显示志愿者报名数据，可通过命名空间直接调用：</w:t>
      </w:r>
    </w:p>
    <w:bookmarkEnd w:id="38"/>
    <w:bookmarkStart w:name="GURvQ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php</w:t>
        <w:br/>
        <w:t/>
        <w:br/>
        <w:t>复制</w:t>
        <w:br/>
        <w:t xml:space="preserve">// admin控制器中 </w:t>
        <w:br/>
        <w:t>use app\index\model\VolunteerActivity;</w:t>
        <w:br/>
        <w:t>$count = VolunteerActivity::where('status',1)-&gt;count();</w:t>
        <w:br/>
      </w:r>
    </w:p>
    <w:bookmarkEnd w:id="39"/>
    <w:bookmarkStart w:name="u4799bab6" w:id="40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登录状态同步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通过Redis统一存储Session，实现多应用登录状态共享：</w:t>
      </w:r>
    </w:p>
    <w:bookmarkEnd w:id="40"/>
    <w:bookmarkStart w:name="z8UzN" w:id="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php</w:t>
        <w:br/>
        <w:t/>
        <w:br/>
        <w:t>复制</w:t>
        <w:br/>
        <w:t xml:space="preserve">// config/session.php  </w:t>
        <w:br/>
        <w:t>'type'       =&gt; 'redis',</w:t>
        <w:br/>
        <w:t>'store'      =&gt; 'session_redis', // 指向同一Redis实例</w:t>
        <w:br/>
      </w:r>
    </w:p>
    <w:bookmarkEnd w:id="41"/>
    <w:bookmarkStart w:name="hwl32" w:id="42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42"/>
    <w:bookmarkStart w:name="cc2fdf3e" w:id="4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五、不推荐单应用模式的原因</w:t>
      </w:r>
    </w:p>
    <w:bookmarkEnd w:id="43"/>
    <w:bookmarkStart w:name="udcbf28c9" w:id="44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权限控制复杂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需在控制器中频繁使用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if($user-&gt;type == 'admin')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进行逻辑分流，增加代码冗余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6aff"/>
            <w:sz w:val="24"/>
          </w:rPr>
          <w:t>3DOC</w:t>
        </w:r>
      </w:hyperlink>
      <w:r>
        <w:rPr>
          <w:rFonts w:ascii="宋体" w:hAnsi="Times New Roman" w:eastAsia="宋体"/>
          <w:b w:val="false"/>
          <w:i w:val="false"/>
          <w:color w:val="000000"/>
          <w:sz w:val="24"/>
        </w:rPr>
        <w:t>。</w:t>
      </w:r>
    </w:p>
    <w:bookmarkEnd w:id="44"/>
    <w:bookmarkStart w:name="ufd994a48" w:id="45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路由冲突风险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例如管理员和志愿者都可能存在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/user/profile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路由，需额外添加前缀区分。</w:t>
      </w:r>
    </w:p>
    <w:bookmarkEnd w:id="45"/>
    <w:bookmarkStart w:name="u405092ae" w:id="46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不利于团队协作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所有开发者需在同一个应用目录下提交代码，易引发版本冲突。</w:t>
      </w:r>
    </w:p>
    <w:bookmarkEnd w:id="46"/>
    <w:bookmarkStart w:name="b15Zi" w:id="47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47"/>
    <w:bookmarkStart w:name="54bbba80" w:id="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结论</w:t>
      </w:r>
    </w:p>
    <w:bookmarkEnd w:id="48"/>
    <w:bookmarkStart w:name="ub4f8e03e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该项目存在</w:t>
      </w:r>
      <w:r>
        <w:rPr>
          <w:rFonts w:ascii="宋体" w:hAnsi="Times New Roman" w:eastAsia="宋体"/>
          <w:b/>
          <w:i w:val="false"/>
          <w:color w:val="000000"/>
          <w:sz w:val="24"/>
        </w:rPr>
        <w:t>多角色入口、严格权限分层、复杂业务模块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等特点，使用ThinkPHP多应用模式可显著提升开发效率和系统可维护性。若未来需增加新的终端（如H5页面），只需新增应用即可快速扩展，符合项目长期迭代需求。</w:t>
      </w:r>
    </w:p>
    <w:bookmarkEnd w:id="4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5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nami-ai-browser.safe.360.cn/knowledge-base/wps-preview?file-id=17434678971991829&amp;file-type=docx&amp;file-name=%E5%BF%97%E7%88%B1%E6%99%8B%E5%8C%BB%E5%BC%80%E5%8F%91%E8%A7%84%E8%8C%83%EF%BC%881.1%EF%BC%89.docx&amp;ks-id=&amp;folder-id=17424576581959147" TargetMode="External" Type="http://schemas.openxmlformats.org/officeDocument/2006/relationships/hyperlink"/><Relationship Id="rId5" Target="https://nami-ai-browser.safe.360.cn/knowledge-base/wps-preview?file-id=17434678971991829&amp;file-type=docx&amp;file-name=%E5%BF%97%E7%88%B1%E6%99%8B%E5%8C%BB%E5%BC%80%E5%8F%91%E8%A7%84%E8%8C%83%EF%BC%881.1%EF%BC%89.docx&amp;ks-id=&amp;folder-id=17424576581959147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