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10EF" w:rsidRDefault="00000000">
      <w:pPr>
        <w:jc w:val="center"/>
      </w:pPr>
      <w:r>
        <w:rPr>
          <w:b/>
          <w:sz w:val="32"/>
        </w:rPr>
        <w:t>Model Equations</w:t>
      </w:r>
    </w:p>
    <w:p w:rsidR="000B10EF" w:rsidRDefault="00000000">
      <w:pPr>
        <w:spacing w:after="100" w:line="252" w:lineRule="auto"/>
      </w:pPr>
      <w:r>
        <w:rPr>
          <w:i/>
        </w:rPr>
        <w:t>Dynamical Modelling of Bleeding–Ischemia Risk Surfaces for Antithrombotic De-escalation after PCI Based on Hemoglobin, Renal Function, and Prior Bleeding</w:t>
      </w:r>
    </w:p>
    <w:p w:rsidR="000B10EF" w:rsidRDefault="00000000">
      <w:pPr>
        <w:spacing w:after="100" w:line="252" w:lineRule="auto"/>
      </w:pPr>
      <w:r>
        <w:t>Equations are intentionally listed one per row. Clinical anchors are literature-informed; structural coefficients remain provisional until patient-level calibration.</w:t>
      </w:r>
    </w:p>
    <w:p w:rsidR="000B10EF" w:rsidRDefault="00000000">
      <w:pPr>
        <w:spacing w:after="80"/>
      </w:pPr>
      <w:r>
        <w:rPr>
          <w:b/>
        </w:rPr>
        <w:t xml:space="preserve">Hemoglobin vulnerability   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q</m:t>
            </m:r>
          </m:e>
          <m:sub>
            <m:r>
              <w:rPr>
                <w:rFonts w:ascii="Cambria Math" w:hAnsi="Cambria Math"/>
                <w:sz w:val="21"/>
              </w:rPr>
              <m:t>Hb</m:t>
            </m:r>
          </m:sub>
        </m:sSub>
        <m:r>
          <w:rPr>
            <w:rFonts w:ascii="Cambria Math" w:hAnsi="Cambria Math"/>
            <w:sz w:val="21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</w:rPr>
                  <m:t>1 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</w:rPr>
                      <m:t>exp</m:t>
                    </m:r>
                  </m:fName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Hb - 11.5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0.85</m:t>
                            </m:r>
                          </m:den>
                        </m:f>
                      </m:e>
                    </m:d>
                  </m:e>
                </m:func>
              </m:e>
            </m:d>
          </m:e>
          <m:sup>
            <m:r>
              <w:rPr>
                <w:rFonts w:ascii="Cambria Math" w:hAnsi="Cambria Math"/>
                <w:sz w:val="21"/>
              </w:rPr>
              <m:t>-1</m:t>
            </m:r>
          </m:sup>
        </m:sSup>
      </m:oMath>
    </w:p>
    <w:p w:rsidR="000B10EF" w:rsidRDefault="00000000">
      <w:pPr>
        <w:spacing w:after="80"/>
      </w:pPr>
      <w:r>
        <w:rPr>
          <w:b/>
        </w:rPr>
        <w:t xml:space="preserve">Renal vulnerability   </w:t>
      </w:r>
      <m:oMath>
        <m:r>
          <w:rPr>
            <w:rFonts w:ascii="Cambria Math" w:hAnsi="Cambria Math"/>
            <w:sz w:val="21"/>
          </w:rPr>
          <m:t xml:space="preserve">q_G = </m:t>
        </m:r>
        <m:sSup>
          <m:sSupPr>
            <m:ctrlPr>
              <w:rPr>
                <w:rFonts w:ascii="Cambria Math" w:hAnsi="Cambria Math"/>
                <w:i/>
                <w:sz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</w:rPr>
                  <m:t>1 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</w:rPr>
                      <m:t>exp</m:t>
                    </m:r>
                  </m:fName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eGFR - 50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14</m:t>
                            </m:r>
                          </m:den>
                        </m:f>
                      </m:e>
                    </m:d>
                  </m:e>
                </m:func>
              </m:e>
            </m:d>
          </m:e>
          <m:sup>
            <m:r>
              <w:rPr>
                <w:rFonts w:ascii="Cambria Math" w:hAnsi="Cambria Math"/>
                <w:sz w:val="21"/>
              </w:rPr>
              <m:t>-1</m:t>
            </m:r>
          </m:sup>
        </m:sSup>
      </m:oMath>
    </w:p>
    <w:p w:rsidR="000B10EF" w:rsidRDefault="00000000">
      <w:pPr>
        <w:spacing w:after="80"/>
      </w:pPr>
      <w:r>
        <w:rPr>
          <w:b/>
        </w:rPr>
        <w:t xml:space="preserve">Prior-bleeding state   </w:t>
      </w:r>
      <m:oMath>
        <m:r>
          <w:rPr>
            <w:rFonts w:ascii="Cambria Math" w:hAnsi="Cambria Math"/>
            <w:sz w:val="21"/>
          </w:rPr>
          <m:t>P ∈ {0,1}</m:t>
        </m:r>
      </m:oMath>
    </w:p>
    <w:p w:rsidR="000B10EF" w:rsidRDefault="00000000">
      <w:pPr>
        <w:spacing w:after="80"/>
      </w:pPr>
      <w:r>
        <w:rPr>
          <w:b/>
        </w:rPr>
        <w:t xml:space="preserve">Treatment intensity   </w:t>
      </w:r>
      <m:oMath>
        <m:r>
          <w:rPr>
            <w:rFonts w:ascii="Cambria Math" w:hAnsi="Cambria Math"/>
            <w:sz w:val="21"/>
          </w:rPr>
          <m:t>u(t) = 1</m:t>
        </m:r>
      </m:oMath>
      <w:r>
        <w:rPr>
          <w:rFonts w:ascii="Cambria Math" w:hAnsi="Cambria Math"/>
          <w:sz w:val="21"/>
        </w:rPr>
        <w:t xml:space="preserve"> for potent DAPT; </w:t>
      </w:r>
      <m:oMath>
        <m:r>
          <w:rPr>
            <w:rFonts w:ascii="Cambria Math" w:hAnsi="Cambria Math"/>
            <w:sz w:val="21"/>
          </w:rPr>
          <m:t>u(t) = 0.55</m:t>
        </m:r>
      </m:oMath>
      <w:r>
        <w:rPr>
          <w:rFonts w:ascii="Cambria Math" w:hAnsi="Cambria Math"/>
          <w:sz w:val="21"/>
        </w:rPr>
        <w:t xml:space="preserve"> for the illustrative de-escalated state</w:t>
      </w:r>
    </w:p>
    <w:p w:rsidR="000B10EF" w:rsidRDefault="00000000">
      <w:pPr>
        <w:spacing w:after="80"/>
      </w:pPr>
      <w:r>
        <w:rPr>
          <w:b/>
        </w:rPr>
        <w:t xml:space="preserve">Bleeding hazard   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h</m:t>
            </m:r>
          </m:e>
          <m:sub>
            <m:r>
              <w:rPr>
                <w:rFonts w:ascii="Cambria Math" w:hAnsi="Cambria Math"/>
                <w:sz w:val="21"/>
              </w:rPr>
              <m:t>B</m:t>
            </m:r>
            <m:d>
              <m:dPr>
                <m:ctrlPr>
                  <w:rPr>
                    <w:rFonts w:ascii="Cambria Math" w:hAnsi="Cambria Math"/>
                    <w:i/>
                    <w:sz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</w:rPr>
                  <m:t>t</m:t>
                </m:r>
              </m:e>
            </m:d>
          </m:sub>
        </m:sSub>
        <m:r>
          <w:rPr>
            <w:rFonts w:ascii="Cambria Math" w:hAnsi="Cambria Math"/>
            <w:sz w:val="21"/>
          </w:rPr>
          <m:t>=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b</m:t>
            </m:r>
          </m:e>
          <m:sub>
            <m:r>
              <w:rPr>
                <w:rFonts w:ascii="Cambria Math" w:hAnsi="Cambria Math"/>
                <w:sz w:val="21"/>
              </w:rPr>
              <m:t>0</m:t>
            </m:r>
          </m:sub>
        </m:sSub>
        <m:func>
          <m:funcPr>
            <m:ctrlPr>
              <w:rPr>
                <w:rFonts w:ascii="Cambria Math" w:hAnsi="Cambria Math"/>
                <w:i/>
                <w:sz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1"/>
              </w:rPr>
              <m:t>exp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H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Hb</m:t>
                    </m:r>
                  </m:sub>
                </m:sSub>
                <m:r>
                  <w:rPr>
                    <w:rFonts w:ascii="Cambria Math" w:hAnsi="Cambria Math"/>
                    <w:sz w:val="21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G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  <w:sz w:val="21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  <w:sz w:val="21"/>
                  </w:rPr>
                  <m:t xml:space="preserve">P 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1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1"/>
                      </w:rPr>
                      <m:t>t</m:t>
                    </m:r>
                  </m:e>
                </m:d>
              </m:e>
            </m:d>
          </m:e>
        </m:func>
      </m:oMath>
    </w:p>
    <w:p w:rsidR="000B10EF" w:rsidRDefault="00000000">
      <w:pPr>
        <w:spacing w:after="80"/>
      </w:pPr>
      <w:r>
        <w:rPr>
          <w:b/>
        </w:rPr>
        <w:t xml:space="preserve">Ischemic hazard   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h</m:t>
            </m:r>
          </m:e>
          <m:sub>
            <m:r>
              <w:rPr>
                <w:rFonts w:ascii="Cambria Math" w:hAnsi="Cambria Math"/>
                <w:sz w:val="21"/>
              </w:rPr>
              <m:t>I</m:t>
            </m:r>
            <m:d>
              <m:dPr>
                <m:ctrlPr>
                  <w:rPr>
                    <w:rFonts w:ascii="Cambria Math" w:hAnsi="Cambria Math"/>
                    <w:i/>
                    <w:sz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</w:rPr>
                  <m:t>t</m:t>
                </m:r>
              </m:e>
            </m:d>
          </m:sub>
        </m:sSub>
        <m:r>
          <w:rPr>
            <w:rFonts w:ascii="Cambria Math" w:hAnsi="Cambria Math"/>
            <w:sz w:val="21"/>
          </w:rPr>
          <m:t>=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i</m:t>
            </m:r>
          </m:e>
          <m:sub>
            <m:r>
              <w:rPr>
                <w:rFonts w:ascii="Cambria Math" w:hAnsi="Cambria Math"/>
                <w:sz w:val="21"/>
              </w:rPr>
              <m:t>0</m:t>
            </m:r>
          </m:sub>
        </m:sSub>
        <m:func>
          <m:funcPr>
            <m:ctrlPr>
              <w:rPr>
                <w:rFonts w:ascii="Cambria Math" w:hAnsi="Cambria Math"/>
                <w:i/>
                <w:sz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1"/>
              </w:rPr>
              <m:t>exp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H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Hb</m:t>
                    </m:r>
                  </m:sub>
                </m:sSub>
                <m:r>
                  <w:rPr>
                    <w:rFonts w:ascii="Cambria Math" w:hAnsi="Cambria Math"/>
                    <w:sz w:val="21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G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  <w:sz w:val="21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  <w:sz w:val="21"/>
                  </w:rPr>
                  <m:t xml:space="preserve">P 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1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1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1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1"/>
                  </w:rPr>
                  <m:t>t</m:t>
                </m:r>
              </m:e>
            </m:d>
          </m:e>
        </m:func>
      </m:oMath>
    </w:p>
    <w:p w:rsidR="000B10EF" w:rsidRDefault="00000000">
      <w:pPr>
        <w:spacing w:after="80"/>
      </w:pPr>
      <w:r>
        <w:rPr>
          <w:b/>
        </w:rPr>
        <w:t xml:space="preserve">Latent bleeding burden   </w:t>
      </w:r>
      <m:oMath>
        <m:f>
          <m:fPr>
            <m:ctrlPr>
              <w:rPr>
                <w:rFonts w:ascii="Cambria Math" w:hAnsi="Cambria Math"/>
                <w:i/>
                <w:sz w:val="21"/>
              </w:rPr>
            </m:ctrlPr>
          </m:fPr>
          <m:num>
            <m:r>
              <w:rPr>
                <w:rFonts w:ascii="Cambria Math" w:hAnsi="Cambria Math"/>
                <w:sz w:val="21"/>
              </w:rPr>
              <m:t>dB</m:t>
            </m:r>
          </m:num>
          <m:den>
            <m:r>
              <w:rPr>
                <w:rFonts w:ascii="Cambria Math" w:hAnsi="Cambria Math"/>
                <w:sz w:val="21"/>
              </w:rPr>
              <m:t>dt</m:t>
            </m:r>
          </m:den>
        </m:f>
        <m:r>
          <w:rPr>
            <w:rFonts w:ascii="Cambria Math" w:hAnsi="Cambria Math"/>
            <w:sz w:val="21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</w:rPr>
              <m:t>B</m:t>
            </m:r>
          </m:sub>
        </m:sSub>
        <m:r>
          <w:rPr>
            <w:rFonts w:ascii="Cambria Math" w:hAnsi="Cambria Math"/>
            <w:sz w:val="21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h</m:t>
            </m:r>
          </m:e>
          <m:sub>
            <m:r>
              <w:rPr>
                <w:rFonts w:ascii="Cambria Math" w:hAnsi="Cambria Math"/>
                <w:sz w:val="21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t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1-B</m:t>
            </m:r>
            <m:d>
              <m:dPr>
                <m:ctrlPr>
                  <w:rPr>
                    <w:rFonts w:ascii="Cambria Math" w:hAnsi="Cambria Math"/>
                    <w:i/>
                    <w:sz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</w:rPr>
                  <m:t>t</m:t>
                </m:r>
              </m:e>
            </m:d>
          </m:e>
        </m:d>
        <m:r>
          <w:rPr>
            <w:rFonts w:ascii="Cambria Math" w:hAnsi="Cambria Math"/>
            <w:sz w:val="21"/>
          </w:rPr>
          <m:t xml:space="preserve"> - 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</w:rPr>
              <m:t>B</m:t>
            </m:r>
          </m:sub>
        </m:sSub>
        <m:r>
          <w:rPr>
            <w:rFonts w:ascii="Cambria Math" w:hAnsi="Cambria Math"/>
            <w:sz w:val="21"/>
          </w:rPr>
          <m:t xml:space="preserve"> B(t)</m:t>
        </m:r>
      </m:oMath>
    </w:p>
    <w:p w:rsidR="000B10EF" w:rsidRDefault="00000000">
      <w:pPr>
        <w:spacing w:after="80"/>
      </w:pPr>
      <w:r>
        <w:rPr>
          <w:b/>
        </w:rPr>
        <w:t xml:space="preserve">Latent ischemic burden   </w:t>
      </w:r>
      <m:oMath>
        <m:f>
          <m:fPr>
            <m:ctrlPr>
              <w:rPr>
                <w:rFonts w:ascii="Cambria Math" w:hAnsi="Cambria Math"/>
                <w:i/>
                <w:sz w:val="21"/>
              </w:rPr>
            </m:ctrlPr>
          </m:fPr>
          <m:num>
            <m:r>
              <w:rPr>
                <w:rFonts w:ascii="Cambria Math" w:hAnsi="Cambria Math"/>
                <w:sz w:val="21"/>
              </w:rPr>
              <m:t>dI</m:t>
            </m:r>
          </m:num>
          <m:den>
            <m:r>
              <w:rPr>
                <w:rFonts w:ascii="Cambria Math" w:hAnsi="Cambria Math"/>
                <w:sz w:val="21"/>
              </w:rPr>
              <m:t>dt</m:t>
            </m:r>
          </m:den>
        </m:f>
        <m:r>
          <w:rPr>
            <w:rFonts w:ascii="Cambria Math" w:hAnsi="Cambria Math"/>
            <w:sz w:val="21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k</m:t>
            </m:r>
          </m:e>
          <m:sub>
            <m:r>
              <w:rPr>
                <w:rFonts w:ascii="Cambria Math" w:hAnsi="Cambria Math"/>
                <w:sz w:val="21"/>
              </w:rPr>
              <m:t>I</m:t>
            </m:r>
          </m:sub>
        </m:sSub>
        <m:r>
          <w:rPr>
            <w:rFonts w:ascii="Cambria Math" w:hAnsi="Cambria Math"/>
            <w:sz w:val="21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h</m:t>
            </m:r>
          </m:e>
          <m:sub>
            <m:r>
              <w:rPr>
                <w:rFonts w:ascii="Cambria Math" w:hAnsi="Cambria Math"/>
                <w:sz w:val="21"/>
              </w:rPr>
              <m:t>I</m:t>
            </m:r>
          </m:sub>
        </m:sSub>
        <m:r>
          <w:rPr>
            <w:rFonts w:ascii="Cambria Math" w:hAnsi="Cambria Math"/>
            <w:sz w:val="21"/>
          </w:rPr>
          <m:t xml:space="preserve">(t)[1-I(t)] - 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</w:rPr>
              <m:t>I</m:t>
            </m:r>
          </m:sub>
        </m:sSub>
        <m:r>
          <w:rPr>
            <w:rFonts w:ascii="Cambria Math" w:hAnsi="Cambria Math"/>
            <w:sz w:val="21"/>
          </w:rPr>
          <m:t xml:space="preserve"> I(t)</m:t>
        </m:r>
      </m:oMath>
    </w:p>
    <w:p w:rsidR="000B10EF" w:rsidRDefault="00000000">
      <w:pPr>
        <w:spacing w:after="80"/>
      </w:pPr>
      <w:r>
        <w:rPr>
          <w:b/>
        </w:rPr>
        <w:t xml:space="preserve">Net competing-risk margin  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sz w:val="21"/>
          </w:rPr>
          <m:t xml:space="preserve">Ψ(t) = 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λ</m:t>
            </m:r>
          </m:e>
          <m:sub>
            <m:r>
              <w:rPr>
                <w:rFonts w:ascii="Cambria Math" w:hAnsi="Cambria Math"/>
                <w:sz w:val="21"/>
              </w:rPr>
              <m:t>B</m:t>
            </m:r>
          </m:sub>
        </m:sSub>
        <m:r>
          <w:rPr>
            <w:rFonts w:ascii="Cambria Math" w:hAnsi="Cambria Math"/>
            <w:sz w:val="21"/>
          </w:rPr>
          <m:t>[B(t)+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h</m:t>
            </m:r>
          </m:e>
          <m:sub>
            <m:r>
              <w:rPr>
                <w:rFonts w:ascii="Cambria Math" w:hAnsi="Cambria Math"/>
                <w:sz w:val="21"/>
              </w:rPr>
              <m:t>B</m:t>
            </m:r>
          </m:sub>
        </m:sSub>
        <m:r>
          <w:rPr>
            <w:rFonts w:ascii="Cambria Math" w:hAnsi="Cambria Math"/>
            <w:sz w:val="21"/>
          </w:rPr>
          <m:t xml:space="preserve">(t)] - 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λ</m:t>
            </m:r>
          </m:e>
          <m:sub>
            <m:r>
              <w:rPr>
                <w:rFonts w:ascii="Cambria Math" w:hAnsi="Cambria Math"/>
                <w:sz w:val="21"/>
              </w:rPr>
              <m:t>I</m:t>
            </m:r>
          </m:sub>
        </m:sSub>
        <m:r>
          <w:rPr>
            <w:rFonts w:ascii="Cambria Math" w:hAnsi="Cambria Math"/>
            <w:sz w:val="21"/>
          </w:rPr>
          <m:t>[I(t)+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h</m:t>
            </m:r>
          </m:e>
          <m:sub>
            <m:r>
              <w:rPr>
                <w:rFonts w:ascii="Cambria Math" w:hAnsi="Cambria Math"/>
                <w:sz w:val="21"/>
              </w:rPr>
              <m:t>I</m:t>
            </m:r>
          </m:sub>
        </m:sSub>
        <m:r>
          <w:rPr>
            <w:rFonts w:ascii="Cambria Math" w:hAnsi="Cambria Math"/>
            <w:sz w:val="21"/>
          </w:rPr>
          <m:t>(t)]</m:t>
        </m:r>
      </m:oMath>
    </w:p>
    <w:p w:rsidR="000B10EF" w:rsidRDefault="00000000">
      <w:pPr>
        <w:spacing w:after="80"/>
      </w:pPr>
      <w:r>
        <w:rPr>
          <w:b/>
        </w:rPr>
        <w:t xml:space="preserve">Latent regime   </w:t>
      </w:r>
      <m:oMath>
        <m:r>
          <w:rPr>
            <w:rFonts w:ascii="Cambria Math" w:hAnsi="Cambria Math"/>
            <w:sz w:val="21"/>
          </w:rPr>
          <m:t>Z(t) ∈</m:t>
        </m:r>
      </m:oMath>
      <w:r>
        <w:rPr>
          <w:rFonts w:ascii="Cambria Math" w:hAnsi="Cambria Math"/>
          <w:sz w:val="21"/>
        </w:rPr>
        <w:t xml:space="preserve"> {Ischemic-dominant, Balanced, Bleeding-dominant, De-escalation-favorable}</w:t>
      </w:r>
    </w:p>
    <w:p w:rsidR="000B10EF" w:rsidRPr="00ED3C11" w:rsidRDefault="00000000">
      <w:pPr>
        <w:spacing w:after="80"/>
        <w:rPr>
          <w:sz w:val="21"/>
        </w:rPr>
      </w:pPr>
      <w:r>
        <w:rPr>
          <w:b/>
        </w:rPr>
        <w:t xml:space="preserve">Transition probability   </w:t>
      </w:r>
      <m:oMath>
        <m:r>
          <m:rPr>
            <m:sty m:val="p"/>
          </m:rPr>
          <w:rPr>
            <w:rFonts w:ascii="Cambria Math" w:hAnsi="Cambria Math"/>
            <w:sz w:val="21"/>
          </w:rPr>
          <m:t>Pr⁡</m:t>
        </m:r>
        <m:r>
          <w:rPr>
            <w:rFonts w:ascii="Cambria Math" w:hAnsi="Cambria Math"/>
            <w:sz w:val="21"/>
          </w:rPr>
          <m:t>[Z(t+Δt)=j | Z(t)=i,x(t)] =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  <w:i/>
                    <w:sz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exp</m:t>
                </m:r>
              </m:fName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1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  <w:sz w:val="21"/>
                      </w:rPr>
                      <m:t>Δt</m:t>
                    </m:r>
                  </m:e>
                </m:d>
              </m:e>
            </m:func>
          </m:e>
          <m:sub>
            <m:r>
              <w:rPr>
                <w:rFonts w:ascii="Cambria Math" w:hAnsi="Cambria Math"/>
                <w:sz w:val="21"/>
              </w:rPr>
              <m:t>ij</m:t>
            </m:r>
          </m:sub>
        </m:sSub>
      </m:oMath>
      <w:r w:rsidR="00ED3C11">
        <w:rPr>
          <w:sz w:val="21"/>
        </w:rPr>
        <w:t xml:space="preserve"> </w:t>
      </w:r>
      <m:oMath>
        <m:r>
          <w:rPr>
            <w:rFonts w:ascii="Cambria Math" w:hAnsi="Cambria Math"/>
            <w:sz w:val="21"/>
          </w:rPr>
          <m:t xml:space="preserve"> </m:t>
        </m:r>
      </m:oMath>
    </w:p>
    <w:p w:rsidR="000B10EF" w:rsidRDefault="00000000">
      <w:pPr>
        <w:spacing w:after="80"/>
      </w:pPr>
      <w:r>
        <w:rPr>
          <w:b/>
        </w:rPr>
        <w:t xml:space="preserve">Cumulative bleeding probability   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P</m:t>
            </m:r>
          </m:e>
          <m:sub>
            <m:r>
              <w:rPr>
                <w:rFonts w:ascii="Cambria Math" w:hAnsi="Cambria Math"/>
                <w:sz w:val="21"/>
              </w:rPr>
              <m:t>B</m:t>
            </m:r>
            <m:d>
              <m:dPr>
                <m:ctrlPr>
                  <w:rPr>
                    <w:rFonts w:ascii="Cambria Math" w:hAnsi="Cambria Math"/>
                    <w:i/>
                    <w:sz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</w:rPr>
                  <m:t>T</m:t>
                </m:r>
              </m:e>
            </m:d>
          </m:sub>
        </m:sSub>
        <m:r>
          <w:rPr>
            <w:rFonts w:ascii="Cambria Math" w:hAnsi="Cambria Math"/>
            <w:sz w:val="21"/>
          </w:rPr>
          <m:t>= 1 -</m:t>
        </m:r>
        <m:func>
          <m:funcPr>
            <m:ctrlPr>
              <w:rPr>
                <w:rFonts w:ascii="Cambria Math" w:hAnsi="Cambria Math"/>
                <w:i/>
                <w:sz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1"/>
              </w:rPr>
              <m:t>exp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B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s</m:t>
                            </m:r>
                          </m:e>
                        </m:d>
                      </m:e>
                    </m:nary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ds</m:t>
                    </m:r>
                  </m:sub>
                </m:sSub>
              </m:e>
            </m:d>
          </m:e>
        </m:func>
      </m:oMath>
    </w:p>
    <w:p w:rsidR="000B10EF" w:rsidRDefault="00000000">
      <w:pPr>
        <w:spacing w:after="80"/>
      </w:pPr>
      <w:r>
        <w:rPr>
          <w:b/>
        </w:rPr>
        <w:t xml:space="preserve">Cumulative ischemic probability   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P</m:t>
            </m:r>
          </m:e>
          <m:sub>
            <m:r>
              <w:rPr>
                <w:rFonts w:ascii="Cambria Math" w:hAnsi="Cambria Math"/>
                <w:sz w:val="21"/>
              </w:rPr>
              <m:t>I</m:t>
            </m:r>
            <m:d>
              <m:dPr>
                <m:ctrlPr>
                  <w:rPr>
                    <w:rFonts w:ascii="Cambria Math" w:hAnsi="Cambria Math"/>
                    <w:i/>
                    <w:sz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</w:rPr>
                  <m:t>T</m:t>
                </m:r>
              </m:e>
            </m:d>
          </m:sub>
        </m:sSub>
        <m:r>
          <w:rPr>
            <w:rFonts w:ascii="Cambria Math" w:hAnsi="Cambria Math"/>
            <w:sz w:val="21"/>
          </w:rPr>
          <m:t>= 1 -</m:t>
        </m:r>
        <m:func>
          <m:funcPr>
            <m:ctrlPr>
              <w:rPr>
                <w:rFonts w:ascii="Cambria Math" w:hAnsi="Cambria Math"/>
                <w:i/>
                <w:sz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1"/>
              </w:rPr>
              <m:t>exp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s</m:t>
                            </m:r>
                          </m:e>
                        </m:d>
                      </m:e>
                    </m:nary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ds</m:t>
                    </m:r>
                  </m:sub>
                </m:sSub>
              </m:e>
            </m:d>
          </m:e>
        </m:func>
      </m:oMath>
    </w:p>
    <w:p w:rsidR="000B10EF" w:rsidRDefault="00000000">
      <w:pPr>
        <w:spacing w:after="80"/>
      </w:pPr>
      <w:r>
        <w:rPr>
          <w:b/>
        </w:rPr>
        <w:t xml:space="preserve">Expected clinical loss   </w:t>
      </w:r>
      <m:oMath>
        <m:r>
          <w:rPr>
            <w:rFonts w:ascii="Cambria Math" w:hAnsi="Cambria Math"/>
            <w:sz w:val="21"/>
          </w:rPr>
          <m:t xml:space="preserve">L(τ) = 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λ</m:t>
            </m:r>
          </m:e>
          <m:sub>
            <m:r>
              <w:rPr>
                <w:rFonts w:ascii="Cambria Math" w:hAnsi="Cambria Math"/>
                <w:sz w:val="21"/>
              </w:rPr>
              <m:t>B</m:t>
            </m:r>
          </m:sub>
        </m:sSub>
        <m:r>
          <w:rPr>
            <w:rFonts w:ascii="Cambria Math" w:hAnsi="Cambria Math"/>
            <w:sz w:val="21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P</m:t>
            </m:r>
          </m:e>
          <m:sub>
            <m:r>
              <w:rPr>
                <w:rFonts w:ascii="Cambria Math" w:hAnsi="Cambria Math"/>
                <w:sz w:val="21"/>
              </w:rPr>
              <m:t>B</m:t>
            </m:r>
          </m:sub>
        </m:sSub>
        <m:r>
          <w:rPr>
            <w:rFonts w:ascii="Cambria Math" w:hAnsi="Cambria Math"/>
            <w:sz w:val="21"/>
          </w:rPr>
          <m:t xml:space="preserve">(T|τ) + 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λ</m:t>
            </m:r>
          </m:e>
          <m:sub>
            <m:r>
              <w:rPr>
                <w:rFonts w:ascii="Cambria Math" w:hAnsi="Cambria Math"/>
                <w:sz w:val="21"/>
              </w:rPr>
              <m:t>I</m:t>
            </m:r>
          </m:sub>
        </m:sSub>
        <m:r>
          <w:rPr>
            <w:rFonts w:ascii="Cambria Math" w:hAnsi="Cambria Math"/>
            <w:sz w:val="21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P</m:t>
            </m:r>
          </m:e>
          <m:sub>
            <m:r>
              <w:rPr>
                <w:rFonts w:ascii="Cambria Math" w:hAnsi="Cambria Math"/>
                <w:sz w:val="21"/>
              </w:rPr>
              <m:t>I</m:t>
            </m:r>
          </m:sub>
        </m:sSub>
        <m:r>
          <w:rPr>
            <w:rFonts w:ascii="Cambria Math" w:hAnsi="Cambria Math"/>
            <w:sz w:val="21"/>
          </w:rPr>
          <m:t xml:space="preserve">(T|τ) + 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</w:rPr>
              <m:t>s</m:t>
            </m:r>
          </m:sub>
        </m:sSub>
        <m:r>
          <w:rPr>
            <w:rFonts w:ascii="Cambria Math" w:hAnsi="Cambria Math"/>
            <w:sz w:val="21"/>
          </w:rPr>
          <m:t xml:space="preserve"> 1(τ&lt;T)</m:t>
        </m:r>
      </m:oMath>
    </w:p>
    <w:p w:rsidR="000B10EF" w:rsidRDefault="00000000">
      <w:pPr>
        <w:spacing w:after="80"/>
      </w:pPr>
      <w:r>
        <w:rPr>
          <w:b/>
        </w:rPr>
        <w:t xml:space="preserve">Optimal stopping time   </w:t>
      </w:r>
      <m:oMath>
        <m:r>
          <w:rPr>
            <w:rFonts w:ascii="Cambria Math" w:hAnsi="Cambria Math"/>
            <w:sz w:val="21"/>
          </w:rPr>
          <m:t>τ* =</m:t>
        </m:r>
        <m:func>
          <m:funcPr>
            <m:ctrlPr>
              <w:rPr>
                <w:rFonts w:ascii="Cambria Math" w:hAnsi="Cambria Math"/>
                <w:i/>
                <w:sz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1"/>
              </w:rPr>
              <m:t>arg</m:t>
            </m:r>
          </m:fName>
          <m:e>
            <m:r>
              <w:rPr>
                <w:rFonts w:ascii="Cambria Math" w:hAnsi="Cambria Math"/>
                <w:sz w:val="21"/>
              </w:rPr>
              <m:t>min_{τ∈[0,T]} L(τ)</m:t>
            </m:r>
          </m:e>
        </m:func>
        <m:r>
          <w:rPr>
            <w:rFonts w:ascii="Cambria Math" w:hAnsi="Cambria Math"/>
            <w:sz w:val="21"/>
          </w:rPr>
          <m:t xml:space="preserve"> </m:t>
        </m:r>
      </m:oMath>
    </w:p>
    <w:p w:rsidR="000B10EF" w:rsidRDefault="00000000">
      <w:pPr>
        <w:spacing w:after="80"/>
      </w:pPr>
      <w:r>
        <w:rPr>
          <w:b/>
        </w:rPr>
        <w:t xml:space="preserve">Stochastic perturbation   </w:t>
      </w:r>
      <m:oMath>
        <m:r>
          <w:rPr>
            <w:rFonts w:ascii="Cambria Math" w:hAnsi="Cambria Math"/>
            <w:sz w:val="21"/>
          </w:rPr>
          <m:t>d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X</m:t>
            </m:r>
          </m:e>
          <m:sub>
            <m:r>
              <w:rPr>
                <w:rFonts w:ascii="Cambria Math" w:hAnsi="Cambria Math"/>
                <w:sz w:val="21"/>
              </w:rPr>
              <m:t>t</m:t>
            </m:r>
          </m:sub>
        </m:sSub>
        <m:r>
          <w:rPr>
            <w:rFonts w:ascii="Cambria Math" w:hAnsi="Cambria Math"/>
            <w:sz w:val="21"/>
          </w:rPr>
          <m:t>= f</m:t>
        </m:r>
        <m:d>
          <m:dPr>
            <m:ctrlPr>
              <w:rPr>
                <w:rFonts w:ascii="Cambria Math" w:hAnsi="Cambria Math"/>
                <w:i/>
                <w:sz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1"/>
                  </w:rPr>
                  <m:t>t</m:t>
                </m:r>
              </m:sub>
            </m:sSub>
            <m:r>
              <w:rPr>
                <w:rFonts w:ascii="Cambria Math" w:hAnsi="Cambria Math"/>
                <w:sz w:val="21"/>
              </w:rPr>
              <m:t>,θ</m:t>
            </m:r>
          </m:e>
        </m:d>
        <m:r>
          <w:rPr>
            <w:rFonts w:ascii="Cambria Math" w:hAnsi="Cambria Math"/>
            <w:sz w:val="21"/>
          </w:rPr>
          <m:t>dt + Σ d</m:t>
        </m:r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W</m:t>
            </m:r>
          </m:e>
          <m:sub>
            <m:r>
              <w:rPr>
                <w:rFonts w:ascii="Cambria Math" w:hAnsi="Cambria Math"/>
                <w:sz w:val="21"/>
              </w:rPr>
              <m:t>t</m:t>
            </m:r>
          </m:sub>
        </m:sSub>
      </m:oMath>
    </w:p>
    <w:p w:rsidR="000B10EF" w:rsidRDefault="00000000">
      <w:pPr>
        <w:spacing w:after="80"/>
      </w:pPr>
      <w:r>
        <w:rPr>
          <w:b/>
        </w:rPr>
        <w:t xml:space="preserve">Synthetic AIC benchmark   </w:t>
      </w:r>
      <m:oMath>
        <m:r>
          <w:rPr>
            <w:rFonts w:ascii="Cambria Math" w:hAnsi="Cambria Math"/>
            <w:sz w:val="21"/>
          </w:rPr>
          <m:t>AIC = n</m:t>
        </m:r>
        <m:func>
          <m:funcPr>
            <m:ctrlPr>
              <w:rPr>
                <w:rFonts w:ascii="Cambria Math" w:hAnsi="Cambria Math"/>
                <w:i/>
                <w:sz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1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</w:rPr>
                      <m:t>RSS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</w:rPr>
                      <m:t>n</m:t>
                    </m:r>
                  </m:den>
                </m:f>
              </m:e>
            </m:d>
          </m:e>
        </m:func>
        <m:r>
          <w:rPr>
            <w:rFonts w:ascii="Cambria Math" w:hAnsi="Cambria Math"/>
            <w:sz w:val="21"/>
          </w:rPr>
          <m:t xml:space="preserve"> + 2k</m:t>
        </m:r>
      </m:oMath>
    </w:p>
    <w:p w:rsidR="000B10EF" w:rsidRDefault="00000000">
      <w:pPr>
        <w:spacing w:after="80"/>
      </w:pPr>
      <w:r>
        <w:rPr>
          <w:b/>
        </w:rPr>
        <w:t xml:space="preserve">Global sensitivity   </w:t>
      </w:r>
      <w:r>
        <w:rPr>
          <w:rFonts w:ascii="Cambria Math" w:hAnsi="Cambria Math"/>
          <w:sz w:val="21"/>
        </w:rPr>
        <w:t>PRCC(θ_j,τ*) = Corr[rank-residual(θ_j), rank-residual(τ*)]</w:t>
      </w:r>
    </w:p>
    <w:sectPr w:rsidR="000B10EF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914258">
    <w:abstractNumId w:val="8"/>
  </w:num>
  <w:num w:numId="2" w16cid:durableId="380250618">
    <w:abstractNumId w:val="6"/>
  </w:num>
  <w:num w:numId="3" w16cid:durableId="841237783">
    <w:abstractNumId w:val="5"/>
  </w:num>
  <w:num w:numId="4" w16cid:durableId="268776452">
    <w:abstractNumId w:val="4"/>
  </w:num>
  <w:num w:numId="5" w16cid:durableId="1100561640">
    <w:abstractNumId w:val="7"/>
  </w:num>
  <w:num w:numId="6" w16cid:durableId="1090739621">
    <w:abstractNumId w:val="3"/>
  </w:num>
  <w:num w:numId="7" w16cid:durableId="1243637150">
    <w:abstractNumId w:val="2"/>
  </w:num>
  <w:num w:numId="8" w16cid:durableId="119148052">
    <w:abstractNumId w:val="1"/>
  </w:num>
  <w:num w:numId="9" w16cid:durableId="182073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0EF"/>
    <w:rsid w:val="0015074B"/>
    <w:rsid w:val="0029639D"/>
    <w:rsid w:val="00326F90"/>
    <w:rsid w:val="00AA1D8D"/>
    <w:rsid w:val="00B47730"/>
    <w:rsid w:val="00CB0664"/>
    <w:rsid w:val="00ED3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9DFAAB"/>
  <w14:defaultImageDpi w14:val="300"/>
  <w15:docId w15:val="{26787083-C4DC-B141-8599-EBC643B58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Prihantini</cp:lastModifiedBy>
  <cp:revision>2</cp:revision>
  <dcterms:created xsi:type="dcterms:W3CDTF">2013-12-23T23:15:00Z</dcterms:created>
  <dcterms:modified xsi:type="dcterms:W3CDTF">2026-10-09T18:31:00Z</dcterms:modified>
  <cp:category/>
</cp:coreProperties>
</file>