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Parameter Sources and CSV Provenance</w:t>
      </w:r>
    </w:p>
    <w:p>
      <w:pPr>
        <w:jc w:val="center"/>
      </w:pPr>
      <w:r>
        <w:rPr>
          <w:i/>
          <w:sz w:val="21"/>
        </w:rPr>
        <w:t>Optimal Stopping Formulation for Preemptive TEVAR After Type B Dissection</w:t>
      </w:r>
    </w:p>
    <w:p>
      <w:pPr>
        <w:pStyle w:val="Heading1"/>
      </w:pPr>
      <w:r>
        <w:t>Evidence Status</w:t>
      </w:r>
    </w:p>
    <w:p>
      <w:pPr>
        <w:spacing w:after="100"/>
      </w:pPr>
      <w:r>
        <w:rPr>
          <w:i w:val="0"/>
        </w:rPr>
        <w:t>Literature supplies clinical anchors, variable definitions, phase definitions, expected directions of effect, and public-data pathways. It does not supply every ODE coefficient, transition intensity, or Bellman weight. Those quantities remain provisional until longitudinal calibration.</w:t>
      </w:r>
    </w:p>
    <w:p>
      <w:pPr>
        <w:pStyle w:val="Heading1"/>
      </w:pPr>
      <w:r>
        <w:t>Literature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source_id</w:t>
            </w:r>
          </w:p>
        </w:tc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citation</w:t>
            </w:r>
          </w:p>
        </w:tc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year</w:t>
            </w:r>
          </w:p>
        </w:tc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parameter_or_anchor</w:t>
            </w:r>
          </w:p>
        </w:tc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reported_anchor_or_role</w:t>
            </w:r>
          </w:p>
        </w:tc>
        <w:tc>
          <w:tcPr>
            <w:tcW w:type="dxa" w:w="1704"/>
            <w:shd w:fill="334155"/>
          </w:tcPr>
          <w:p>
            <w:r>
              <w:rPr>
                <w:b/>
                <w:sz w:val="11"/>
              </w:rPr>
              <w:t>open_access_or_download_link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Isselbacher EM et al. 2022 ACC/AHA Guideline for the Diagnosis and Management of Aortic Disease. Circulation/JACC.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Entry tear; false lumen; aortic diameter; serial enlargement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High-risk imaging features include entry tear &gt;10 mm, false lumen &gt;20-22 mm, maximum aortic diameter &gt;40 mm, and &gt;5 mm increase between serial scans.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https://pmc.ncbi.nlm.nih.gov/articles/PMC9876736/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Mazzolai L et al. 2024 ESC Guidelines for the management of peripheral arterial and aortic diseases. Eur Heart J.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TEVAR timing; high-risk morphology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Intervention considered early within 90 days; subacute treatment may be safer; entry tear &gt;10 mm, initial aortic diameter &gt;40 mm and false lumen &gt;20 mm discussed as adverse features.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https://academic.oup.com/eurheartj/article/45/36/3538/7738955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Brunkwall J et al. Endovascular repair of acute uncomplicated aortic type B dissection promotes aortic remodelling: ADSORB trial. Eur J Vasc Endovasc Surg.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2014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False lumen remodeling after TEVAR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TEVAR promoted false-lumen thrombosis and reduction in false-lumen size at 1 year versus medical therapy.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https://pubmed.ncbi.nlm.nih.gov/24962744/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Nienaber CA et al. Endovascular repair of type B aortic dissection: long-term results of the randomized INSTEAD-XL trial. Circ Cardiovasc Interv.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2013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Long-term TEVAR benefit and disease progression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Five-year aorta-specific mortality and progression were lower in the TEVAR arm; benefit emerged on landmark follow-up.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https://pubmed.ncbi.nlm.nih.gov/23922146/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Yang Y et al. Acute or Subacute, the Optimal Timing for Uncomplicated Type B Aortic Dissection: systematic review and meta-analysis. Front Surg.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Acute versus subacute TEVAR timing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Three studies, 1,193 patients; phase definitions and pooled comparison support explicit timing analysis.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https://pmc.ncbi.nlm.nih.gov/articles/PMC9110682/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Naito N, Takagi H. Optimal Timing of Pre-emptive TEVAR in Uncomplicated Type B Aortic Dissection: network meta-analysis. J Endovasc Ther.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Pre-emptive TEVAR timing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Subacute phase (14-90 days) emerged as a favorable timing interval in the network synthesis.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https://journals.sagepub.com/doi/10.1177/15266028241245282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Need for and update on clinical trials for uncomplicated type B aortic dissection. JVS Vascular Insights.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Evidence uncertainty; ongoing trials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Summarizes INSTEAD, INSTEAD-XL and ADSORB and emphasizes persistent uncertainty about prophylactic TEVAR.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https://pmc.ncbi.nlm.nih.gov/articles/PMC11672679/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Tolenaar JL et al. Predicting aortic enlargement in type B aortic dissection. Ann Cardiothorac Surg.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2014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Entry tear; false lumen; aortic enlargement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Large entry tear &gt;10 mm, false-lumen diameter around 22 mm, patency and serial enlargement are reviewed as adverse morphologic features.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https://pmc.ncbi.nlm.nih.gov/articles/PMC4052419/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Uncomplicated Acute Type B Aortic Dissection: Selection Guidelines for TEVAR. Ann Cardiothorac Surg/Review.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2017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High-risk CTA features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Summarizes aortic diameter &gt;=40 mm, false lumen &gt;=22 mm, patent/partially thrombosed false lumen and entry tear &gt;=10 mm as adverse imaging features.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https://pmc.ncbi.nlm.nih.gov/articles/PMC5684168/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Evangelista A et al. Long-term outcome of aortic dissection with patent false lumen: predictive role of entry tear size and location. Circulation.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2012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Entry tear diameter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Large entry tear (&gt;=10 mm) associated with more dissection-related complications and greater growth in the reported cohort.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https://pubmed.ncbi.nlm.nih.gov/22615344/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Blount KJ, Hagspiel KD. Aortic diameter, true lumen, and false lumen growth rates in chronic type B aortic dissection. AJR.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2009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False-lumen and total aortic growth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Mean maximum aortic diameter growth 7.1 mm/y and false-lumen diameter growth 6.5 mm/y; faster growth occurred in patients later repaired or deceased.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https://pubmed.ncbi.nlm.nih.gov/19380527/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Sueyoshi E et al. Growth rate of affected aorta in patients with type B partially closed aortic dissection. Ann Thorac Surg.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2009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Growth rate and false-lumen status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Serial CT study evaluating how false-lumen closure status relates to aortic growth.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https://pubmed.ncbi.nlm.nih.gov/19766816/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13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Noninvasive Morphologic and Hemodynamic Evaluation of Type B Aortic Dissection: State of the Art and Future Perspectives.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CTA morphologic measurements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Describes standardized maximum aortic diameter, true/false-lumen measures and multiple high-risk morphologic markers.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https://pmc.ncbi.nlm.nih.gov/articles/PMC8250421/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14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Changing Management of Type B Aortic Dissections.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Prophylactic TEVAR; residual aneurysmal degeneration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Reviews contemporary TEVAR strategy and persistent late aneurysmal expansion despite proximal repair.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https://pmc.ncbi.nlm.nih.gov/articles/PMC10000326/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Zimmermann J et al. Hemodynamic Effects of Entry and Exit Tear Size in Aortic Dissection Evaluated with In Vitro MRI and Fluid-Structure Interaction Simulation.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Entry tear size and false-lumen hemodynamics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Changing tear size altered false-lumen flow and pressure in in-vitro and FSI experiments.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https://arxiv.org/abs/2303.13639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Mayer C et al. Type B Aortic Dissection CTA Collection with True and False Lumen Expert Annotations. Scientific Data.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CTA true/false-lumen segmentation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Forty expert-annotated TBAD CTA cases with freely downloadable imaging/segmentations.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https://www.nature.com/articles/s41597-024-03284-2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1"/>
              </w:rPr>
              <w:t>17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Mayer C et al. Aortic Dissection Dataset and Segmentations. Figshare.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2024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Downloadable CTA and segmentation files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Open CC BY 4.0 dataset associated with the Scientific Data descriptor.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1"/>
              </w:rPr>
              <w:t>https://figshare.com/articles/dataset/Aortic_Dissection_Dataset_and_Segmentations/22269091</w:t>
            </w:r>
          </w:p>
        </w:tc>
      </w:tr>
      <w:tr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18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Optimal Timing of Thoracic Endovascular Aortic Repair for Late Remodeling in Acute Type B Dissection.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2023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Timing and remodeling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Compares acute, subacute and chronic TEVAR timing with longitudinal true-lumen remodeling.</w:t>
            </w:r>
          </w:p>
        </w:tc>
        <w:tc>
          <w:tcPr>
            <w:tcW w:type="dxa" w:w="1704"/>
            <w:vAlign w:val="center"/>
            <w:shd w:fill="F1F5F9"/>
          </w:tcPr>
          <w:p>
            <w:r>
              <w:rPr>
                <w:sz w:val="11"/>
              </w:rPr>
              <w:t>https://pmc.ncbi.nlm.nih.gov/articles/PMC11708470/</w:t>
            </w:r>
          </w:p>
        </w:tc>
      </w:tr>
    </w:tbl>
    <w:p>
      <w:pPr>
        <w:pStyle w:val="Heading1"/>
      </w:pPr>
      <w:r>
        <w:t>Model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parameter_name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symbol_or_code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reference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unit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range_low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range_high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status</w:t>
            </w:r>
          </w:p>
        </w:tc>
        <w:tc>
          <w:tcPr>
            <w:tcW w:type="dxa" w:w="1278"/>
            <w:shd w:fill="334155"/>
          </w:tcPr>
          <w:p>
            <w:r>
              <w:rPr>
                <w:b/>
                <w:sz w:val="11"/>
              </w:rPr>
              <w:t>provenance_note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Entry tear high-risk anchor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E_hr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10.0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Literature-derived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2022 ACC/AHA; 2024 ESC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False lumen high-risk anchor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F_hr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21.0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20.0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Literature-derived midpoint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2022 ACC/AHA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Aortic diameter high-risk anchor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D_hr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40.0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Literature-derived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2022 ACC/AHA; 2024 ESC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Serial enlargement anchor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DeltaD_hr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5.0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mm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Literature-derived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2022 ACC/AHA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Acute phase boundary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T_acute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14.0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Literature-derived phase definition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2024 ESC; timing meta-analysis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Subacute phase end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T_subacute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90.0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nan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Literature-derived phase definition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2024 ESC; timing meta-analysis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False-lumen tear growth coupling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k_fl_tear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0.042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0.025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False-lumen momentum coupling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k_fl_momentum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0.02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0.032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Aortic enlargement from FL burden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k_da_fl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0.032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Aortic enlargement from growth momentum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k_da_momentum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0.016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0.008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0.026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Tear-driven growth momentum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k_mom_tear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0.055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FL-driven growth momentum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k_mom_fl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0.045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0.025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0.07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Aorta-driven growth momentum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k_mom_aorta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0.065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Tear-driven morphologic burden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k_burden_tear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0.06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0.035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0.09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FL-driven morphologic burden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k_burden_fl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Growth-driven morphologic burden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k_burden_growth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0.085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0.12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Stability reserve recovery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k_reserve_recover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0.018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Burden-related reserve depletion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k_reserve_burden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0.06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0.035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0.09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Growth-related reserve depletion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k_reserve_growth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0.045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day^-1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0.025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structural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Sensitivity range only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Baseline waiting intensity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hwait0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0.0005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model intensity/day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0.00025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0.001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decision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Not a mortality hazard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Baseline procedure intensity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hproc0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model intensity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0.007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0.02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decision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Not a perioperative event rate</w:t>
            </w:r>
          </w:p>
        </w:tc>
      </w:tr>
      <w:tr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Acute procedural penalty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acute_penalty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20.0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dimensionless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10.0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30.0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Provisional decision coefficient</w:t>
            </w:r>
          </w:p>
        </w:tc>
        <w:tc>
          <w:tcPr>
            <w:tcW w:type="dxa" w:w="1278"/>
            <w:vAlign w:val="center"/>
            <w:shd w:fill="F1F5F9"/>
          </w:tcPr>
          <w:p>
            <w:r>
              <w:rPr>
                <w:sz w:val="11"/>
              </w:rPr>
              <w:t>Calibrates early-phase penalty shape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1"/>
              </w:rPr>
              <w:t>Chronic procedural penalty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chronic_penalty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0.45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dimensionless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0.75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Provisional decision coefficient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1"/>
              </w:rPr>
              <w:t>Calibrates late-phase penalty shape</w:t>
            </w:r>
          </w:p>
        </w:tc>
      </w:tr>
    </w:tbl>
    <w:p>
      <w:pPr>
        <w:pStyle w:val="Heading1"/>
      </w:pPr>
      <w:r>
        <w:t>CSV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34155"/>
          </w:tcPr>
          <w:p>
            <w:r>
              <w:rPr>
                <w:b/>
                <w:sz w:val="13"/>
              </w:rPr>
              <w:t>File</w:t>
            </w:r>
          </w:p>
        </w:tc>
        <w:tc>
          <w:tcPr>
            <w:tcW w:type="dxa" w:w="5112"/>
            <w:shd w:fill="334155"/>
          </w:tcPr>
          <w:p>
            <w:r>
              <w:rPr>
                <w:b/>
                <w:sz w:val="13"/>
              </w:rPr>
              <w:t>How the numbers are generated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Reference_Trajectory.csv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Generated by adaptive RK45 from the untreated five-state system; contains 120-day morphology, burden, reserve, Markov probabilities, and theoretical hazards.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Reference_Optimal_Stopping_Path.csv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Daily Bellman recursion applied to the reference trajectory; contains operate-now cost, wait cost, value, and 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Stopping_Boundary_Continuation.csv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Entry tear 6-16 mm in 0.5-mm increments crossed with four initial false-lumen sizes; output is model-derived stopping day.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EntryTear_FalseLumen_Stopping_Surface.csv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609 grid points spanning entry tear 6-16 mm and false lumen 16-30 mm; output is stopping day.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Scenario_Results.csv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Eight predefined morphology/reserve scenarios; all values are model-generated.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LHS_Parameter_Samples.csv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500 Latin-hypercube structural/decision parameter sets plus resulting stopping day.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Global_Sensitivity_PRCC.csv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PRCC between each sampled parameter and stopping day after rank residualization.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Local_Elasticity.csv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+/-1% parameter perturbation around the reference solution.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Stochastic_Perturbation_Results.csv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500 computational input perturbations of entry tear, false lumen, aortic diameter, growth momentum, and reserve.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Synthetic_Model_Comparison_AIC.csv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Internal recovery comparison of nested logistic specifications fitted to model-generated labels; not clinical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3"/>
              </w:rPr>
              <w:t>Post_TEVAR_Equilibrium.csv / Post_TEVAR_Eigenvalues.csv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3"/>
              </w:rPr>
              <w:t>Numerical root of the post-TEVAR subsystem and Jacobian eigenvalues.</w:t>
            </w:r>
          </w:p>
        </w:tc>
      </w:tr>
      <w:tr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Numerical_Robustness.csv</w:t>
            </w:r>
          </w:p>
        </w:tc>
        <w:tc>
          <w:tcPr>
            <w:tcW w:type="dxa" w:w="5112"/>
            <w:vAlign w:val="center"/>
            <w:shd w:fill="F1F5F9"/>
          </w:tcPr>
          <w:p>
            <w:r>
              <w:rPr>
                <w:sz w:val="13"/>
              </w:rPr>
              <w:t>RK45/DOP853 verification across output steps 0.10-1.00 day.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