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Reproducible Analysis Protocol</w:t>
      </w:r>
    </w:p>
    <w:p>
      <w:pPr>
        <w:jc w:val="center"/>
      </w:pPr>
      <w:r>
        <w:rPr>
          <w:i/>
          <w:sz w:val="21"/>
        </w:rPr>
        <w:t>Optimal Stopping and Free-Boundary Proof-of-Concept for Preemptive TEVAR</w:t>
      </w:r>
    </w:p>
    <w:p>
      <w:pPr>
        <w:pStyle w:val="Heading2"/>
      </w:pPr>
      <w:r>
        <w:t>1. Evidence extraction</w:t>
      </w:r>
    </w:p>
    <w:p>
      <w:pPr>
        <w:spacing w:after="100"/>
      </w:pPr>
      <w:r>
        <w:rPr>
          <w:i w:val="0"/>
        </w:rPr>
        <w:t>Record study design, phase definition, CTA measurement definition, entry-tear size, false-lumen dimension, total aortic dimension, serial interval, treatment timing, and outcome. Never convert an odds ratio or hazard ratio directly into an ODE coefficient.</w:t>
      </w:r>
    </w:p>
    <w:p>
      <w:pPr>
        <w:pStyle w:val="Heading2"/>
      </w:pPr>
      <w:r>
        <w:t>2. State formulation</w:t>
      </w:r>
    </w:p>
    <w:p>
      <w:pPr>
        <w:spacing w:after="100"/>
      </w:pPr>
      <w:r>
        <w:rPr>
          <w:i w:val="0"/>
        </w:rPr>
        <w:t>Define F(t), D(t), G(t), B(t), R(t), literature-normalization functions, CTMC generator Q(x), waiting intensity, procedural intensity, and Bellman action costs.</w:t>
      </w:r>
    </w:p>
    <w:p>
      <w:pPr>
        <w:pStyle w:val="Heading2"/>
      </w:pPr>
      <w:r>
        <w:t>3. Structural verification</w:t>
      </w:r>
    </w:p>
    <w:p>
      <w:pPr>
        <w:spacing w:after="100"/>
      </w:pPr>
      <w:r>
        <w:rPr>
          <w:i w:val="0"/>
        </w:rPr>
        <w:t>Check positivity and admissible ranges, dimensional consistency, CTMC probability conservation, post-TEVAR equilibrium, Jacobian eigenvalues, and solver agreement.</w:t>
      </w:r>
    </w:p>
    <w:p>
      <w:pPr>
        <w:pStyle w:val="Heading2"/>
      </w:pPr>
      <w:r>
        <w:t>4. Reference simulation</w:t>
      </w:r>
    </w:p>
    <w:p>
      <w:pPr>
        <w:spacing w:after="100"/>
      </w:pPr>
      <w:r>
        <w:rPr>
          <w:i w:val="0"/>
        </w:rPr>
        <w:t>Run the reference morphology: 12-mm entry tear, 22-mm false lumen, 41-mm aorta, G=0.20, B=0.15, R=0.78 over 120 days.</w:t>
      </w:r>
    </w:p>
    <w:p>
      <w:pPr>
        <w:pStyle w:val="Heading2"/>
      </w:pPr>
      <w:r>
        <w:t>5. Optimal stopping</w:t>
      </w:r>
    </w:p>
    <w:p>
      <w:pPr>
        <w:spacing w:after="100"/>
      </w:pPr>
      <w:r>
        <w:rPr>
          <w:i w:val="0"/>
        </w:rPr>
        <w:t>Run daily finite-horizon Bellman recursion and identify the first state where immediate TEVAR has lower model cost than waiting one additional day.</w:t>
      </w:r>
    </w:p>
    <w:p>
      <w:pPr>
        <w:pStyle w:val="Heading2"/>
      </w:pPr>
      <w:r>
        <w:t>6. Free-boundary continuation</w:t>
      </w:r>
    </w:p>
    <w:p>
      <w:pPr>
        <w:spacing w:after="100"/>
      </w:pPr>
      <w:r>
        <w:rPr>
          <w:i w:val="0"/>
        </w:rPr>
        <w:t>Vary entry tear 6-16 mm and false lumen 16-30 mm to map continuation and intervention regions.</w:t>
      </w:r>
    </w:p>
    <w:p>
      <w:pPr>
        <w:pStyle w:val="Heading2"/>
      </w:pPr>
      <w:r>
        <w:t>7. Scenario analysis</w:t>
      </w:r>
    </w:p>
    <w:p>
      <w:pPr>
        <w:spacing w:after="100"/>
      </w:pPr>
      <w:r>
        <w:rPr>
          <w:i w:val="0"/>
        </w:rPr>
        <w:t>Run eight clinically interpretable morphology/reserve scenarios and compare stopping-day shifts.</w:t>
      </w:r>
    </w:p>
    <w:p>
      <w:pPr>
        <w:pStyle w:val="Heading2"/>
      </w:pPr>
      <w:r>
        <w:t>8. Sensitivity and uncertainty</w:t>
      </w:r>
    </w:p>
    <w:p>
      <w:pPr>
        <w:spacing w:after="100"/>
      </w:pPr>
      <w:r>
        <w:rPr>
          <w:i w:val="0"/>
        </w:rPr>
        <w:t>Run 500 Latin-hypercube parameter sets with PRCC, +/-1% local perturbation, and 500 stochastic input scenarios.</w:t>
      </w:r>
    </w:p>
    <w:p>
      <w:pPr>
        <w:pStyle w:val="Heading2"/>
      </w:pPr>
      <w:r>
        <w:t>9. Synthetic recovery</w:t>
      </w:r>
    </w:p>
    <w:p>
      <w:pPr>
        <w:spacing w:after="100"/>
      </w:pPr>
      <w:r>
        <w:rPr>
          <w:i w:val="0"/>
        </w:rPr>
        <w:t>Use AIC only as an internal recovery test on model-generated labels. Do not report synthetic AIC as clinical performance.</w:t>
      </w:r>
    </w:p>
    <w:p>
      <w:pPr>
        <w:pStyle w:val="Heading2"/>
      </w:pPr>
      <w:r>
        <w:t>10. Retrospective calibration</w:t>
      </w:r>
    </w:p>
    <w:p>
      <w:pPr>
        <w:spacing w:after="100"/>
      </w:pPr>
      <w:r>
        <w:rPr>
          <w:i w:val="0"/>
        </w:rPr>
        <w:t>Collect serial CTA, exact symptom onset and treatment dates, blood-pressure treatment, complications, remodeling, reintervention, and survival. Estimate observation and transition models.</w:t>
      </w:r>
    </w:p>
    <w:p>
      <w:pPr>
        <w:pStyle w:val="Heading2"/>
      </w:pPr>
      <w:r>
        <w:t>11. Clinical validation</w:t>
      </w:r>
    </w:p>
    <w:p>
      <w:pPr>
        <w:spacing w:after="100"/>
      </w:pPr>
      <w:r>
        <w:rPr>
          <w:i w:val="0"/>
        </w:rPr>
        <w:t>Report calibration slope, Brier score, time-dependent AUC, clinically prespecified sensitivity/specificity, decision-curve net benefit, competing-risk performance, and external validation.</w:t>
      </w:r>
    </w:p>
    <w:p>
      <w:pPr>
        <w:pStyle w:val="Heading2"/>
      </w:pPr>
      <w:r>
        <w:t>12. Causal timing analysis</w:t>
      </w:r>
    </w:p>
    <w:p>
      <w:pPr>
        <w:spacing w:after="100"/>
      </w:pPr>
      <w:r>
        <w:rPr>
          <w:i w:val="0"/>
        </w:rPr>
        <w:t>Use target-trial emulation or appropriate g-methods before interpreting TEVAR timing causally because treatment is confounded by disease severity and clinician response.</w:t>
      </w:r>
    </w:p>
    <w:p>
      <w:pPr>
        <w:pStyle w:val="Heading1"/>
      </w:pPr>
      <w:r>
        <w:t>Run Order</w:t>
      </w:r>
    </w:p>
    <w:p>
      <w:pPr>
        <w:spacing w:after="100"/>
      </w:pPr>
      <w:r>
        <w:rPr>
          <w:i w:val="0"/>
        </w:rPr>
        <w:t>1. python tbad_optimal_stopping.py</w:t>
      </w:r>
    </w:p>
    <w:p>
      <w:pPr>
        <w:spacing w:after="100"/>
      </w:pPr>
      <w:r>
        <w:rPr>
          <w:i w:val="0"/>
        </w:rPr>
        <w:t>2. python make_figures.py</w:t>
      </w:r>
    </w:p>
    <w:p>
      <w:pPr>
        <w:spacing w:after="100"/>
      </w:pPr>
      <w:r>
        <w:rPr>
          <w:i w:val="0"/>
        </w:rPr>
        <w:t>3. Review run_output.json and all CSV outputs before transferring any number to an abstract or manuscript.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