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курс.</w:t>
      </w:r>
      <w:r>
        <w:t xml:space="preserve"> </w:t>
      </w:r>
      <w:r>
        <w:t xml:space="preserve">Раздел</w:t>
      </w:r>
      <w:r>
        <w:t xml:space="preserve"> </w:t>
      </w:r>
      <w:r>
        <w:t xml:space="preserve">-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Выполнение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курса.</w:t>
      </w:r>
      <w:r>
        <w:t xml:space="preserve"> </w:t>
      </w:r>
      <w:r>
        <w:t xml:space="preserve">Основы</w:t>
      </w:r>
      <w:r>
        <w:t xml:space="preserve"> </w:t>
      </w:r>
      <w:r>
        <w:t xml:space="preserve">Linux.</w:t>
      </w:r>
      <w:r>
        <w:t xml:space="preserve"> </w:t>
      </w:r>
      <w:r>
        <w:t xml:space="preserve">Раздел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Титков</w:t>
      </w:r>
      <w:r>
        <w:t xml:space="preserve"> </w:t>
      </w:r>
      <w:r>
        <w:t xml:space="preserve">Ярослав</w:t>
      </w:r>
      <w:r>
        <w:t xml:space="preserve"> </w:t>
      </w:r>
      <w:r>
        <w:t xml:space="preserve">Максимович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расширенные аспекты работы в Linux, включая работу с удалёнными серверами, передачу файлов, управление процессами и использование инструментов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задания, представленные во втором разделе курса.</w:t>
      </w:r>
    </w:p>
    <w:bookmarkEnd w:id="21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aptionedFigure"/>
      </w:pPr>
      <w:r>
        <w:drawing>
          <wp:inline>
            <wp:extent cx="5334000" cy="2095499"/>
            <wp:effectExtent b="0" l="0" r="0" t="0"/>
            <wp:docPr descr="Рис. 1: Удалённые сервер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5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Удалённые серверы</w:t>
      </w:r>
    </w:p>
    <w:p>
      <w:pPr>
        <w:pStyle w:val="BodyText"/>
      </w:pPr>
      <w:r>
        <w:t xml:space="preserve">Выбраны все варианты, потому что удаленный сервер подходит для хранения данных (общедоступных, больших, конфиденциальных) и выполнения сложных вычислений.</w:t>
      </w:r>
    </w:p>
    <w:p>
      <w:pPr>
        <w:pStyle w:val="CaptionedFigure"/>
      </w:pPr>
      <w:r>
        <w:drawing>
          <wp:inline>
            <wp:extent cx="5334000" cy="2445512"/>
            <wp:effectExtent b="0" l="0" r="0" t="0"/>
            <wp:docPr descr="Рис. 2: Передача открытого ключ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5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Передача открытого ключа</w:t>
      </w:r>
    </w:p>
    <w:p>
      <w:pPr>
        <w:pStyle w:val="BodyText"/>
      </w:pPr>
      <w:r>
        <w:t xml:space="preserve">Выбран id_rsa.pub, так как это открытый ключ, который безопасно передавать.</w:t>
      </w:r>
    </w:p>
    <w:p>
      <w:pPr>
        <w:pStyle w:val="CaptionedFigure"/>
      </w:pPr>
      <w:r>
        <w:drawing>
          <wp:inline>
            <wp:extent cx="5334000" cy="2188905"/>
            <wp:effectExtent b="0" l="0" r="0" t="0"/>
            <wp:docPr descr="Рис. 3: Рекурсивная передача файлов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8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Рекурсивная передача файлов</w:t>
      </w:r>
    </w:p>
    <w:p>
      <w:pPr>
        <w:pStyle w:val="BodyText"/>
      </w:pPr>
      <w:r>
        <w:t xml:space="preserve">Выбран scp -r steplc username@server:/, так как эта команда рекурсивно копирует папку с содержимым.</w:t>
      </w:r>
    </w:p>
    <w:p>
      <w:pPr>
        <w:pStyle w:val="CaptionedFigure"/>
      </w:pPr>
      <w:r>
        <w:drawing>
          <wp:inline>
            <wp:extent cx="5334000" cy="2436770"/>
            <wp:effectExtent b="0" l="0" r="0" t="0"/>
            <wp:docPr descr="Рис. 4: Обновление репозиториев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6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Обновление репозиториев</w:t>
      </w:r>
    </w:p>
    <w:p>
      <w:pPr>
        <w:pStyle w:val="BodyText"/>
      </w:pPr>
      <w:r>
        <w:t xml:space="preserve">Выбран sudo apt-get update, так как это обновляет список пакетов, что может решить проблему с установкой.</w:t>
      </w:r>
    </w:p>
    <w:p>
      <w:pPr>
        <w:pStyle w:val="CaptionedFigure"/>
      </w:pPr>
      <w:r>
        <w:drawing>
          <wp:inline>
            <wp:extent cx="5334000" cy="2172004"/>
            <wp:effectExtent b="0" l="0" r="0" t="0"/>
            <wp:docPr descr="Рис. 5: Работа с Filezilla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Работа с Filezilla</w:t>
      </w:r>
    </w:p>
    <w:p>
      <w:pPr>
        <w:pStyle w:val="BodyText"/>
      </w:pPr>
      <w:r>
        <w:t xml:space="preserve">Выбраны варианты для просмотра директорий и копирования файлов (на сервер и с сервера), так как Filezilla предназначен для этих задач.</w:t>
      </w:r>
    </w:p>
    <w:p>
      <w:pPr>
        <w:pStyle w:val="CaptionedFigure"/>
      </w:pPr>
      <w:r>
        <w:drawing>
          <wp:inline>
            <wp:extent cx="5334000" cy="2136270"/>
            <wp:effectExtent b="0" l="0" r="0" t="0"/>
            <wp:docPr descr="Рис. 6: Настройка вывод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6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вывода</w:t>
      </w:r>
    </w:p>
    <w:p>
      <w:pPr>
        <w:pStyle w:val="BodyText"/>
      </w:pPr>
      <w:r>
        <w:t xml:space="preserve">Выбраны варианты настройки сервера для вывода на экран и проверки терминальной версии программы, так как это решает проблему.</w:t>
      </w:r>
    </w:p>
    <w:p>
      <w:pPr>
        <w:pStyle w:val="CaptionedFigure"/>
      </w:pPr>
      <w:r>
        <w:drawing>
          <wp:inline>
            <wp:extent cx="5334000" cy="2571243"/>
            <wp:effectExtent b="0" l="0" r="0" t="0"/>
            <wp:docPr descr="Рис. 7: Справка по программам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1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Справка по программам</w:t>
      </w:r>
    </w:p>
    <w:p>
      <w:pPr>
        <w:pStyle w:val="BodyText"/>
      </w:pPr>
      <w:r>
        <w:t xml:space="preserve">Выбраны man program и program –help, так как это стандартные способы получения справки.</w:t>
      </w:r>
    </w:p>
    <w:p>
      <w:pPr>
        <w:pStyle w:val="CaptionedFigure"/>
      </w:pPr>
      <w:r>
        <w:drawing>
          <wp:inline>
            <wp:extent cx="5334000" cy="3423802"/>
            <wp:effectExtent b="0" l="0" r="0" t="0"/>
            <wp:docPr descr="Рис. 8: Выбор форматов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3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Выбор форматов</w:t>
      </w:r>
    </w:p>
    <w:p>
      <w:pPr>
        <w:pStyle w:val="BodyText"/>
      </w:pPr>
      <w:r>
        <w:t xml:space="preserve">Выбраны варианты barn, sarn и fastq, так как они соответствуют формату данных для FastQC.</w:t>
      </w:r>
    </w:p>
    <w:p>
      <w:pPr>
        <w:pStyle w:val="CaptionedFigure"/>
      </w:pPr>
      <w:r>
        <w:drawing>
          <wp:inline>
            <wp:extent cx="5334000" cy="3107260"/>
            <wp:effectExtent b="0" l="0" r="0" t="0"/>
            <wp:docPr descr="Рис. 9: Выравнивание последовательностей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7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Выравнивание последовательностей</w:t>
      </w:r>
    </w:p>
    <w:p>
      <w:pPr>
        <w:pStyle w:val="BodyText"/>
      </w:pPr>
      <w:r>
        <w:t xml:space="preserve">Введена команда clustalw -align test.fasta, так как она явно указывает на множественное выравнивание.</w:t>
      </w:r>
    </w:p>
    <w:p>
      <w:pPr>
        <w:pStyle w:val="CaptionedFigure"/>
      </w:pPr>
      <w:r>
        <w:drawing>
          <wp:inline>
            <wp:extent cx="5334000" cy="2874752"/>
            <wp:effectExtent b="0" l="0" r="0" t="0"/>
            <wp:docPr descr="Рис. 10: Завершение и приостановка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4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Завершение и приостановка</w:t>
      </w:r>
    </w:p>
    <w:p>
      <w:pPr>
        <w:pStyle w:val="BodyText"/>
      </w:pPr>
      <w:r>
        <w:t xml:space="preserve">Выбран вариант</w:t>
      </w:r>
      <w:r>
        <w:t xml:space="preserve"> </w:t>
      </w:r>
      <w:r>
        <w:t xml:space="preserve">“</w:t>
      </w:r>
      <w:r>
        <w:t xml:space="preserve">Только о program1 и program3</w:t>
      </w:r>
      <w:r>
        <w:t xml:space="preserve">”</w:t>
      </w:r>
      <w:r>
        <w:t xml:space="preserve">, так как Ctrl+C завершает программу, а Ctrl+Z приостанавливает, оставляя их в списке jobs.</w:t>
      </w:r>
    </w:p>
    <w:p>
      <w:pPr>
        <w:pStyle w:val="CaptionedFigure"/>
      </w:pPr>
      <w:r>
        <w:drawing>
          <wp:inline>
            <wp:extent cx="5334000" cy="2258222"/>
            <wp:effectExtent b="0" l="0" r="0" t="0"/>
            <wp:docPr descr="Рис. 11: Идентификаторы процессов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8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Идентификаторы процессов</w:t>
      </w:r>
    </w:p>
    <w:p>
      <w:pPr>
        <w:pStyle w:val="BodyText"/>
      </w:pPr>
      <w:r>
        <w:t xml:space="preserve">Выбрано</w:t>
      </w:r>
      <w:r>
        <w:t xml:space="preserve"> </w:t>
      </w:r>
      <w:r>
        <w:t xml:space="preserve">“</w:t>
      </w:r>
      <w:r>
        <w:t xml:space="preserve">У всех разные</w:t>
      </w:r>
      <w:r>
        <w:t xml:space="preserve">”</w:t>
      </w:r>
      <w:r>
        <w:t xml:space="preserve">, так как jobs, top и ps используют разные идентификаторы: jobs — номер задания в оболочке, ps — PID, top — динамический список.</w:t>
      </w:r>
    </w:p>
    <w:p>
      <w:pPr>
        <w:pStyle w:val="CaptionedFigure"/>
      </w:pPr>
      <w:r>
        <w:drawing>
          <wp:inline>
            <wp:extent cx="5334000" cy="2275009"/>
            <wp:effectExtent b="0" l="0" r="0" t="0"/>
            <wp:docPr descr="Рис. 12: Сигналы завершения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5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Сигналы завершения</w:t>
      </w:r>
    </w:p>
    <w:p>
      <w:pPr>
        <w:pStyle w:val="BodyText"/>
      </w:pPr>
      <w:r>
        <w:t xml:space="preserve">Выбрано kill -9, так как это сигнал SIGKILL, мгновенно завершающий процесс, включая остановленные.</w:t>
      </w:r>
    </w:p>
    <w:p>
      <w:pPr>
        <w:pStyle w:val="CaptionedFigure"/>
      </w:pPr>
      <w:r>
        <w:drawing>
          <wp:inline>
            <wp:extent cx="5334000" cy="2357051"/>
            <wp:effectExtent b="0" l="0" r="0" t="0"/>
            <wp:docPr descr="Рис. 13: SIGTERM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7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SIGTERM</w:t>
      </w:r>
    </w:p>
    <w:p>
      <w:pPr>
        <w:pStyle w:val="BodyText"/>
      </w:pPr>
      <w:r>
        <w:t xml:space="preserve">Выбрано</w:t>
      </w:r>
      <w:r>
        <w:t xml:space="preserve"> </w:t>
      </w:r>
      <w:r>
        <w:t xml:space="preserve">“</w:t>
      </w:r>
      <w:r>
        <w:t xml:space="preserve">Процесс будет завершен</w:t>
      </w:r>
      <w:r>
        <w:t xml:space="preserve">”</w:t>
      </w:r>
      <w:r>
        <w:t xml:space="preserve">, так как kill без опций отправляет SIGTERM, который завершает процесс.</w:t>
      </w:r>
    </w:p>
    <w:p>
      <w:pPr>
        <w:pStyle w:val="CaptionedFigure"/>
      </w:pPr>
      <w:r>
        <w:drawing>
          <wp:inline>
            <wp:extent cx="5334000" cy="2038978"/>
            <wp:effectExtent b="0" l="0" r="0" t="0"/>
            <wp:docPr descr="Рис. 14: CPU приостановленного процесс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8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CPU приостановленного процесса</w:t>
      </w:r>
    </w:p>
    <w:p>
      <w:pPr>
        <w:pStyle w:val="BodyText"/>
      </w:pPr>
      <w:r>
        <w:t xml:space="preserve">Выбрано</w:t>
      </w:r>
      <w:r>
        <w:t xml:space="preserve"> </w:t>
      </w:r>
      <w:r>
        <w:t xml:space="preserve">“</w:t>
      </w:r>
      <w:r>
        <w:t xml:space="preserve">0% CPU</w:t>
      </w:r>
      <w:r>
        <w:t xml:space="preserve">”</w:t>
      </w:r>
      <w:r>
        <w:t xml:space="preserve">, так как остановленный процесс (Ctrl+Z) не использует процессорное время.</w:t>
      </w:r>
    </w:p>
    <w:p>
      <w:pPr>
        <w:pStyle w:val="CaptionedFigure"/>
      </w:pPr>
      <w:r>
        <w:drawing>
          <wp:inline>
            <wp:extent cx="5334000" cy="2918191"/>
            <wp:effectExtent b="0" l="0" r="0" t="0"/>
            <wp:docPr descr="Рис. 15: Потребление памяти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8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Потребление памяти</w:t>
      </w:r>
    </w:p>
    <w:p>
      <w:pPr>
        <w:pStyle w:val="BodyText"/>
      </w:pPr>
      <w:r>
        <w:t xml:space="preserve">Выбрано</w:t>
      </w:r>
      <w:r>
        <w:t xml:space="preserve"> </w:t>
      </w:r>
      <w:r>
        <w:t xml:space="preserve">“</w:t>
      </w:r>
      <w:r>
        <w:t xml:space="preserve">Столько, сколько оно потребляло в момент остановки</w:t>
      </w:r>
      <w:r>
        <w:t xml:space="preserve">”</w:t>
      </w:r>
      <w:r>
        <w:t xml:space="preserve">, так как память не освобождается при остановке.</w:t>
      </w:r>
    </w:p>
    <w:p>
      <w:pPr>
        <w:pStyle w:val="CaptionedFigure"/>
      </w:pPr>
      <w:r>
        <w:drawing>
          <wp:inline>
            <wp:extent cx="5334000" cy="2908655"/>
            <wp:effectExtent b="0" l="0" r="0" t="0"/>
            <wp:docPr descr="Рис. 16: Завершение потока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8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Завершение потока</w:t>
      </w:r>
    </w:p>
    <w:p>
      <w:pPr>
        <w:pStyle w:val="BodyText"/>
      </w:pPr>
      <w:r>
        <w:t xml:space="preserve">Выбрано сочетание клавиш Ctrl+C, так как это стандартный способ принудительного завершения процессов в терминале.</w:t>
      </w:r>
    </w:p>
    <w:p>
      <w:pPr>
        <w:pStyle w:val="CaptionedFigure"/>
      </w:pPr>
      <w:r>
        <w:drawing>
          <wp:inline>
            <wp:extent cx="5334000" cy="2852861"/>
            <wp:effectExtent b="0" l="0" r="0" t="0"/>
            <wp:docPr descr="Рис. 17: Многопоточность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2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Многопоточность</w:t>
      </w:r>
    </w:p>
    <w:p>
      <w:pPr>
        <w:pStyle w:val="BodyText"/>
      </w:pPr>
      <w:r>
        <w:t xml:space="preserve">Выбрано</w:t>
      </w:r>
      <w:r>
        <w:t xml:space="preserve"> </w:t>
      </w:r>
      <w:r>
        <w:t xml:space="preserve">“</w:t>
      </w:r>
      <w:r>
        <w:t xml:space="preserve">Только bowtie2</w:t>
      </w:r>
      <w:r>
        <w:t xml:space="preserve">”</w:t>
      </w:r>
      <w:r>
        <w:t xml:space="preserve">, так как bowtie2 поддерживает многопоточность, а bowtie2-build — нет.</w:t>
      </w:r>
    </w:p>
    <w:p>
      <w:pPr>
        <w:pStyle w:val="CaptionedFigure"/>
      </w:pPr>
      <w:r>
        <w:drawing>
          <wp:inline>
            <wp:extent cx="5334000" cy="2879096"/>
            <wp:effectExtent b="0" l="0" r="0" t="0"/>
            <wp:docPr descr="Рис. 18: Результат работы bowtie2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9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Результат работы bowtie2</w:t>
      </w:r>
    </w:p>
    <w:p>
      <w:pPr>
        <w:pStyle w:val="BodyText"/>
      </w:pPr>
      <w:r>
        <w:t xml:space="preserve">Выполнено задание с выводом статистики в bowtie.log, подтверждающее корректность работы в многопоточном режиме.</w:t>
      </w:r>
    </w:p>
    <w:p>
      <w:pPr>
        <w:pStyle w:val="CaptionedFigure"/>
      </w:pPr>
      <w:r>
        <w:drawing>
          <wp:inline>
            <wp:extent cx="5334000" cy="2552833"/>
            <wp:effectExtent b="0" l="0" r="0" t="0"/>
            <wp:docPr descr="Рис. 19: fg в другой вкладке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2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fg в другой вкладке</w:t>
      </w:r>
    </w:p>
    <w:p>
      <w:pPr>
        <w:pStyle w:val="BodyText"/>
      </w:pPr>
      <w:r>
        <w:t xml:space="preserve">Выбран вариант</w:t>
      </w:r>
      <w:r>
        <w:t xml:space="preserve"> </w:t>
      </w:r>
      <w:r>
        <w:t xml:space="preserve">“</w:t>
      </w:r>
      <w:r>
        <w:t xml:space="preserve">Терминал сообщит, что нет процесса для запуска в fg</w:t>
      </w:r>
      <w:r>
        <w:t xml:space="preserve">”</w:t>
      </w:r>
      <w:r>
        <w:t xml:space="preserve">, потому что команда fg работает только в текущей вкладке.</w:t>
      </w:r>
    </w:p>
    <w:p>
      <w:pPr>
        <w:pStyle w:val="CaptionedFigure"/>
      </w:pPr>
      <w:r>
        <w:drawing>
          <wp:inline>
            <wp:extent cx="5334000" cy="1776545"/>
            <wp:effectExtent b="0" l="0" r="0" t="0"/>
            <wp:docPr descr="Рис. 20: Завершение сессии tmux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6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Завершение сессии tmux</w:t>
      </w:r>
    </w:p>
    <w:p>
      <w:pPr>
        <w:pStyle w:val="BodyText"/>
      </w:pPr>
      <w:r>
        <w:t xml:space="preserve">Выбран вариант</w:t>
      </w:r>
      <w:r>
        <w:t xml:space="preserve"> </w:t>
      </w:r>
      <w:r>
        <w:t xml:space="preserve">“</w:t>
      </w:r>
      <w:r>
        <w:t xml:space="preserve">tmux завершит работу</w:t>
      </w:r>
      <w:r>
        <w:t xml:space="preserve">”</w:t>
      </w:r>
      <w:r>
        <w:t xml:space="preserve">, так как закрытие последней вкладки приводит к завершению сессии tmux.</w:t>
      </w:r>
    </w:p>
    <w:p>
      <w:pPr>
        <w:pStyle w:val="CaptionedFigure"/>
      </w:pPr>
      <w:r>
        <w:drawing>
          <wp:inline>
            <wp:extent cx="5334000" cy="2457585"/>
            <wp:effectExtent b="0" l="0" r="0" t="0"/>
            <wp:docPr descr="Рис. 21: Отключение от tmux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7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Отключение от tmux</w:t>
      </w:r>
    </w:p>
    <w:p>
      <w:pPr>
        <w:pStyle w:val="BodyText"/>
      </w:pPr>
      <w:r>
        <w:t xml:space="preserve">Выбрано</w:t>
      </w:r>
      <w:r>
        <w:t xml:space="preserve"> </w:t>
      </w:r>
      <w:r>
        <w:t xml:space="preserve">“</w:t>
      </w:r>
      <w:r>
        <w:t xml:space="preserve">Соединение с сервером прервется, но работа trnux продолжится</w:t>
      </w:r>
      <w:r>
        <w:t xml:space="preserve">”</w:t>
      </w:r>
      <w:r>
        <w:t xml:space="preserve">, так как tmux/trnux работает независимо от терминала.</w:t>
      </w:r>
    </w:p>
    <w:p>
      <w:pPr>
        <w:pStyle w:val="CaptionedFigure"/>
      </w:pPr>
      <w:r>
        <w:drawing>
          <wp:inline>
            <wp:extent cx="5334000" cy="1985676"/>
            <wp:effectExtent b="0" l="0" r="0" t="0"/>
            <wp:docPr descr="Рис. 22: Закрытие вкладки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Закрытие вкладки</w:t>
      </w:r>
    </w:p>
    <w:p>
      <w:pPr>
        <w:pStyle w:val="BodyText"/>
      </w:pPr>
      <w:r>
        <w:t xml:space="preserve">Выбран вариант</w:t>
      </w:r>
      <w:r>
        <w:t xml:space="preserve"> </w:t>
      </w:r>
      <w:r>
        <w:t xml:space="preserve">“</w:t>
      </w:r>
      <w:r>
        <w:t xml:space="preserve">Вкладка закроется, а вместе с ней пропадет и запущенный в ней процесс</w:t>
      </w:r>
      <w:r>
        <w:t xml:space="preserve">”</w:t>
      </w:r>
      <w:r>
        <w:t xml:space="preserve">, так как принудительное закрытие вкладки в tmux убивает все процессы в ней.</w:t>
      </w:r>
    </w:p>
    <w:p>
      <w:pPr>
        <w:pStyle w:val="CaptionedFigure"/>
      </w:pPr>
      <w:r>
        <w:drawing>
          <wp:inline>
            <wp:extent cx="5334000" cy="2477089"/>
            <wp:effectExtent b="0" l="0" r="0" t="0"/>
            <wp:docPr descr="Рис. 23: Переименование вкладки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7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Переименование вкладки</w:t>
      </w:r>
    </w:p>
    <w:p>
      <w:pPr>
        <w:pStyle w:val="BodyText"/>
      </w:pPr>
      <w:r>
        <w:t xml:space="preserve">Выбран вариант</w:t>
      </w:r>
      <w:r>
        <w:t xml:space="preserve"> </w:t>
      </w:r>
      <w:r>
        <w:t xml:space="preserve">“</w:t>
      </w:r>
      <w:r>
        <w:t xml:space="preserve">Ctrl+B и , (запятая)</w:t>
      </w:r>
      <w:r>
        <w:t xml:space="preserve">”</w:t>
      </w:r>
      <w:r>
        <w:t xml:space="preserve">, потому что эта комбинация в tmux отвечает за переименование текущей вкладки.</w:t>
      </w:r>
    </w:p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прошёл и изучил второй раздел курса по Linux на платформе Stepik.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Раздел - 2</dc:title>
  <dc:creator>Титков Ярослав Максимович</dc:creator>
  <dc:language>ru-RU</dc:language>
  <cp:keywords/>
  <dcterms:created xsi:type="dcterms:W3CDTF">2025-05-17T13:52:54Z</dcterms:created>
  <dcterms:modified xsi:type="dcterms:W3CDTF">2025-05-17T13:52:54Z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iography">
    <vt:lpwstr>bib/cite.bib</vt:lpwstr>
  </property>
  <property fmtid="{D5CDD505-2E9C-101B-9397-08002B2CF9AE}" pid="5" name="ccsDelim">
    <vt:lpwstr>, </vt:lpwstr>
  </property>
  <property fmtid="{D5CDD505-2E9C-101B-9397-08002B2CF9AE}" pid="6" name="ccsLabelSep">
    <vt:lpwstr> — </vt:lpwstr>
  </property>
  <property fmtid="{D5CDD505-2E9C-101B-9397-08002B2CF9AE}" pid="7" name="ccsTemplate">
    <vt:lpwstr>iccsLabelSept</vt:lpwstr>
  </property>
  <property fmtid="{D5CDD505-2E9C-101B-9397-08002B2CF9AE}" pid="8" name="chapDelim">
    <vt:lpwstr>.</vt:lpwstr>
  </property>
  <property fmtid="{D5CDD505-2E9C-101B-9397-08002B2CF9AE}" pid="9" name="chapters">
    <vt:lpwstr>False</vt:lpwstr>
  </property>
  <property fmtid="{D5CDD505-2E9C-101B-9397-08002B2CF9AE}" pid="10" name="chaptersDepth">
    <vt:lpwstr>1</vt:lpwstr>
  </property>
  <property fmtid="{D5CDD505-2E9C-101B-9397-08002B2CF9AE}" pid="11" name="codeBlockCaptions">
    <vt:lpwstr>False</vt:lpwstr>
  </property>
  <property fmtid="{D5CDD505-2E9C-101B-9397-08002B2CF9AE}" pid="12" name="cref">
    <vt:lpwstr>False</vt:lpwstr>
  </property>
  <property fmtid="{D5CDD505-2E9C-101B-9397-08002B2CF9AE}" pid="13" name="crossrefYaml">
    <vt:lpwstr>pandoc-crossref.yaml</vt:lpwstr>
  </property>
  <property fmtid="{D5CDD505-2E9C-101B-9397-08002B2CF9AE}" pid="14" name="csl">
    <vt:lpwstr>pandoc/csl/gost-r-7-0-5-2008-numeric.csl</vt:lpwstr>
  </property>
  <property fmtid="{D5CDD505-2E9C-101B-9397-08002B2CF9AE}" pid="15" name="documentclass">
    <vt:lpwstr>scrreprt</vt:lpwstr>
  </property>
  <property fmtid="{D5CDD505-2E9C-101B-9397-08002B2CF9AE}" pid="16" name="eqLabels">
    <vt:lpwstr>arabic</vt:lpwstr>
  </property>
  <property fmtid="{D5CDD505-2E9C-101B-9397-08002B2CF9AE}" pid="17" name="eqnBlockInlineMath">
    <vt:lpwstr>False</vt:lpwstr>
  </property>
  <property fmtid="{D5CDD505-2E9C-101B-9397-08002B2CF9AE}" pid="18" name="eqnBlockTemplate">
    <vt:lpwstr>ti</vt:lpwstr>
  </property>
  <property fmtid="{D5CDD505-2E9C-101B-9397-08002B2CF9AE}" pid="19" name="eqnDisplayTemplate">
    <vt:lpwstr>e</vt:lpwstr>
  </property>
  <property fmtid="{D5CDD505-2E9C-101B-9397-08002B2CF9AE}" pid="20" name="eqnIndexTemplate">
    <vt:lpwstr>(i)</vt:lpwstr>
  </property>
  <property fmtid="{D5CDD505-2E9C-101B-9397-08002B2CF9AE}" pid="21" name="eqnInlineTableTemplate">
    <vt:lpwstr>e</vt:lpwstr>
  </property>
  <property fmtid="{D5CDD505-2E9C-101B-9397-08002B2CF9AE}" pid="22" name="eqnInlineTemplate">
    <vt:lpwstr>eequationNumberTeX{i}</vt:lpwstr>
  </property>
  <property fmtid="{D5CDD505-2E9C-101B-9397-08002B2CF9AE}" pid="23" name="eqnPrefix">
    <vt:lpwstr/>
  </property>
  <property fmtid="{D5CDD505-2E9C-101B-9397-08002B2CF9AE}" pid="24" name="eqnPrefixTemplate">
    <vt:lpwstr>p i</vt:lpwstr>
  </property>
  <property fmtid="{D5CDD505-2E9C-101B-9397-08002B2CF9AE}" pid="25" name="equationNumberTeX">
    <vt:lpwstr>\qquad</vt:lpwstr>
  </property>
  <property fmtid="{D5CDD505-2E9C-101B-9397-08002B2CF9AE}" pid="26" name="figLabels">
    <vt:lpwstr>arabic</vt:lpwstr>
  </property>
  <property fmtid="{D5CDD505-2E9C-101B-9397-08002B2CF9AE}" pid="27" name="figPrefix">
    <vt:lpwstr/>
  </property>
  <property fmtid="{D5CDD505-2E9C-101B-9397-08002B2CF9AE}" pid="28" name="figPrefixTemplate">
    <vt:lpwstr>p i</vt:lpwstr>
  </property>
  <property fmtid="{D5CDD505-2E9C-101B-9397-08002B2CF9AE}" pid="29" name="figureTemplate">
    <vt:lpwstr>figureTitle ititleDelim t</vt:lpwstr>
  </property>
  <property fmtid="{D5CDD505-2E9C-101B-9397-08002B2CF9AE}" pid="30" name="figureTitle">
    <vt:lpwstr>Рис.</vt:lpwstr>
  </property>
  <property fmtid="{D5CDD505-2E9C-101B-9397-08002B2CF9AE}" pid="31" name="fontsize">
    <vt:lpwstr>12pt</vt:lpwstr>
  </property>
  <property fmtid="{D5CDD505-2E9C-101B-9397-08002B2CF9AE}" pid="32" name="header-includes">
    <vt:lpwstr/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temTitleDelim">
    <vt:lpwstr>.</vt:lpwstr>
  </property>
  <property fmtid="{D5CDD505-2E9C-101B-9397-08002B2CF9AE}" pid="37" name="listingTemplate">
    <vt:lpwstr>listingTitle ititleDelim t</vt:lpwstr>
  </property>
  <property fmtid="{D5CDD505-2E9C-101B-9397-08002B2CF9AE}" pid="38" name="listingTitle">
    <vt:lpwstr>Listing</vt:lpwstr>
  </property>
  <property fmtid="{D5CDD505-2E9C-101B-9397-08002B2CF9AE}" pid="39" name="listings">
    <vt:lpwstr>False</vt:lpwstr>
  </property>
  <property fmtid="{D5CDD505-2E9C-101B-9397-08002B2CF9AE}" pid="40" name="lof">
    <vt:lpwstr>True</vt:lpwstr>
  </property>
  <property fmtid="{D5CDD505-2E9C-101B-9397-08002B2CF9AE}" pid="41" name="lofItemTemplate">
    <vt:lpwstr>lofItemTitleilistItemTitleDelimt </vt:lpwstr>
  </property>
  <property fmtid="{D5CDD505-2E9C-101B-9397-08002B2CF9AE}" pid="42" name="lofItemTitle">
    <vt:lpwstr/>
  </property>
  <property fmtid="{D5CDD505-2E9C-101B-9397-08002B2CF9AE}" pid="43" name="lofTitle">
    <vt:lpwstr>Список иллюстраций</vt:lpwstr>
  </property>
  <property fmtid="{D5CDD505-2E9C-101B-9397-08002B2CF9AE}" pid="44" name="lolItemTemplate">
    <vt:lpwstr>lolItemTitleilistItemTitleDelimt </vt:lpwstr>
  </property>
  <property fmtid="{D5CDD505-2E9C-101B-9397-08002B2CF9AE}" pid="45" name="lolItemTitle">
    <vt:lpwstr/>
  </property>
  <property fmtid="{D5CDD505-2E9C-101B-9397-08002B2CF9AE}" pid="46" name="lolTitle">
    <vt:lpwstr>List of Listings</vt:lpwstr>
  </property>
  <property fmtid="{D5CDD505-2E9C-101B-9397-08002B2CF9AE}" pid="47" name="lot">
    <vt:lpwstr>True</vt:lpwstr>
  </property>
  <property fmtid="{D5CDD505-2E9C-101B-9397-08002B2CF9AE}" pid="48" name="lotItemTemplate">
    <vt:lpwstr>lotItemTitleilistItemTitleDelimt </vt:lpwstr>
  </property>
  <property fmtid="{D5CDD505-2E9C-101B-9397-08002B2CF9AE}" pid="49" name="lotItemTitle">
    <vt:lpwstr/>
  </property>
  <property fmtid="{D5CDD505-2E9C-101B-9397-08002B2CF9AE}" pid="50" name="lotTitle">
    <vt:lpwstr>Список таблиц</vt:lpwstr>
  </property>
  <property fmtid="{D5CDD505-2E9C-101B-9397-08002B2CF9AE}" pid="51" name="lstLabels">
    <vt:lpwstr>arabic</vt:lpwstr>
  </property>
  <property fmtid="{D5CDD505-2E9C-101B-9397-08002B2CF9AE}" pid="52" name="lstPrefix">
    <vt:lpwstr/>
  </property>
  <property fmtid="{D5CDD505-2E9C-101B-9397-08002B2CF9AE}" pid="53" name="lstPrefixTemplate">
    <vt:lpwstr>p i</vt:lpwstr>
  </property>
  <property fmtid="{D5CDD505-2E9C-101B-9397-08002B2CF9AE}" pid="54" name="mainfont">
    <vt:lpwstr>IBM Plex Serif</vt:lpwstr>
  </property>
  <property fmtid="{D5CDD505-2E9C-101B-9397-08002B2CF9AE}" pid="55" name="mainfontoptions">
    <vt:lpwstr>Ligatures=Common,Ligatures=TeX,Scale=0.94</vt:lpwstr>
  </property>
  <property fmtid="{D5CDD505-2E9C-101B-9397-08002B2CF9AE}" pid="56" name="monofont">
    <vt:lpwstr>IBM Plex Mono</vt:lpwstr>
  </property>
  <property fmtid="{D5CDD505-2E9C-101B-9397-08002B2CF9AE}" pid="57" name="monofontoptions">
    <vt:lpwstr>Scale=MatchLowercase,Scale=0.94,FakeStretch=0.9</vt:lpwstr>
  </property>
  <property fmtid="{D5CDD505-2E9C-101B-9397-08002B2CF9AE}" pid="58" name="nameInLink">
    <vt:lpwstr>False</vt:lpwstr>
  </property>
  <property fmtid="{D5CDD505-2E9C-101B-9397-08002B2CF9AE}" pid="59" name="numberSections">
    <vt:lpwstr>False</vt:lpwstr>
  </property>
  <property fmtid="{D5CDD505-2E9C-101B-9397-08002B2CF9AE}" pid="60" name="pairDelim">
    <vt:lpwstr>, </vt:lpwstr>
  </property>
  <property fmtid="{D5CDD505-2E9C-101B-9397-08002B2CF9AE}" pid="61" name="papersize">
    <vt:lpwstr>a4</vt:lpwstr>
  </property>
  <property fmtid="{D5CDD505-2E9C-101B-9397-08002B2CF9AE}" pid="62" name="polyglossia-lang">
    <vt:lpwstr/>
  </property>
  <property fmtid="{D5CDD505-2E9C-101B-9397-08002B2CF9AE}" pid="63" name="polyglossia-otherlangs">
    <vt:lpwstr/>
  </property>
  <property fmtid="{D5CDD505-2E9C-101B-9397-08002B2CF9AE}" pid="64" name="rangeDelim">
    <vt:lpwstr>-</vt:lpwstr>
  </property>
  <property fmtid="{D5CDD505-2E9C-101B-9397-08002B2CF9AE}" pid="65" name="refDelim">
    <vt:lpwstr>, </vt:lpwstr>
  </property>
  <property fmtid="{D5CDD505-2E9C-101B-9397-08002B2CF9AE}" pid="66" name="refIndexTemplate">
    <vt:lpwstr>isuf</vt:lpwstr>
  </property>
  <property fmtid="{D5CDD505-2E9C-101B-9397-08002B2CF9AE}" pid="67" name="romanfont">
    <vt:lpwstr>IBM Plex Serif</vt:lpwstr>
  </property>
  <property fmtid="{D5CDD505-2E9C-101B-9397-08002B2CF9AE}" pid="68" name="sansfont">
    <vt:lpwstr>IBM Plex Sans</vt:lpwstr>
  </property>
  <property fmtid="{D5CDD505-2E9C-101B-9397-08002B2CF9AE}" pid="69" name="secHeaderDelim">
    <vt:lpwstr> </vt:lpwstr>
  </property>
  <property fmtid="{D5CDD505-2E9C-101B-9397-08002B2CF9AE}" pid="70" name="secHeaderTemplate">
    <vt:lpwstr>isecHeaderDelim[n]t</vt:lpwstr>
  </property>
  <property fmtid="{D5CDD505-2E9C-101B-9397-08002B2CF9AE}" pid="71" name="secLabels">
    <vt:lpwstr>arabic</vt:lpwstr>
  </property>
  <property fmtid="{D5CDD505-2E9C-101B-9397-08002B2CF9AE}" pid="72" name="secPrefix">
    <vt:lpwstr/>
  </property>
  <property fmtid="{D5CDD505-2E9C-101B-9397-08002B2CF9AE}" pid="73" name="secPrefixTemplate">
    <vt:lpwstr>p i</vt:lpwstr>
  </property>
  <property fmtid="{D5CDD505-2E9C-101B-9397-08002B2CF9AE}" pid="74" name="sectionsDepth">
    <vt:lpwstr>0</vt:lpwstr>
  </property>
  <property fmtid="{D5CDD505-2E9C-101B-9397-08002B2CF9AE}" pid="75" name="subfigGrid">
    <vt:lpwstr>False</vt:lpwstr>
  </property>
  <property fmtid="{D5CDD505-2E9C-101B-9397-08002B2CF9AE}" pid="76" name="subfigLabels">
    <vt:lpwstr>alpha a</vt:lpwstr>
  </property>
  <property fmtid="{D5CDD505-2E9C-101B-9397-08002B2CF9AE}" pid="77" name="subfigureChildTemplate">
    <vt:lpwstr>i</vt:lpwstr>
  </property>
  <property fmtid="{D5CDD505-2E9C-101B-9397-08002B2CF9AE}" pid="78" name="subfigureRefIndexTemplate">
    <vt:lpwstr>isuf (s)</vt:lpwstr>
  </property>
  <property fmtid="{D5CDD505-2E9C-101B-9397-08002B2CF9AE}" pid="79" name="subfigureTemplate">
    <vt:lpwstr>figureTitle ititleDelim t. ccs</vt:lpwstr>
  </property>
  <property fmtid="{D5CDD505-2E9C-101B-9397-08002B2CF9AE}" pid="80" name="subtitle">
    <vt:lpwstr>Выполнение внешнего курса. Основы Linux. Раздел 2</vt:lpwstr>
  </property>
  <property fmtid="{D5CDD505-2E9C-101B-9397-08002B2CF9AE}" pid="81" name="tableEqns">
    <vt:lpwstr>False</vt:lpwstr>
  </property>
  <property fmtid="{D5CDD505-2E9C-101B-9397-08002B2CF9AE}" pid="82" name="tableTemplate">
    <vt:lpwstr>tableTitle ititleDelim t</vt:lpwstr>
  </property>
  <property fmtid="{D5CDD505-2E9C-101B-9397-08002B2CF9AE}" pid="83" name="tableTitle">
    <vt:lpwstr>Таблица</vt:lpwstr>
  </property>
  <property fmtid="{D5CDD505-2E9C-101B-9397-08002B2CF9AE}" pid="84" name="tblLabels">
    <vt:lpwstr>arabic</vt:lpwstr>
  </property>
  <property fmtid="{D5CDD505-2E9C-101B-9397-08002B2CF9AE}" pid="85" name="tblPrefix">
    <vt:lpwstr/>
  </property>
  <property fmtid="{D5CDD505-2E9C-101B-9397-08002B2CF9AE}" pid="86" name="tblPrefixTemplate">
    <vt:lpwstr>p i</vt:lpwstr>
  </property>
  <property fmtid="{D5CDD505-2E9C-101B-9397-08002B2CF9AE}" pid="87" name="titleDelim">
    <vt:lpwstr>:</vt:lpwstr>
  </property>
  <property fmtid="{D5CDD505-2E9C-101B-9397-08002B2CF9AE}" pid="88" name="toc">
    <vt:lpwstr>True</vt:lpwstr>
  </property>
  <property fmtid="{D5CDD505-2E9C-101B-9397-08002B2CF9AE}" pid="89" name="toc-depth">
    <vt:lpwstr>2</vt:lpwstr>
  </property>
  <property fmtid="{D5CDD505-2E9C-101B-9397-08002B2CF9AE}" pid="90" name="toc-title">
    <vt:lpwstr>Содержание</vt:lpwstr>
  </property>
</Properties>
</file>