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315200" cy="10972800"/>
            <wp:docPr id="1" name="Picture 1"/>
            <wp:cNvGraphicFramePr>
              <a:graphicFrameLocks noChangeAspect="1"/>
            </wp:cNvGraphicFramePr>
            <a:graphic>
              <a:graphicData uri="http://schemas.openxmlformats.org/drawingml/2006/picture">
                <pic:pic>
                  <pic:nvPicPr>
                    <pic:cNvPr id="0" name="m5index_shadow_camel_report.png"/>
                    <pic:cNvPicPr/>
                  </pic:nvPicPr>
                  <pic:blipFill>
                    <a:blip r:embed="rId9"/>
                    <a:stretch>
                      <a:fillRect/>
                    </a:stretch>
                  </pic:blipFill>
                  <pic:spPr>
                    <a:xfrm>
                      <a:off x="0" y="0"/>
                      <a:ext cx="7315200" cy="10972800"/>
                    </a:xfrm>
                    <a:prstGeom prst="rect"/>
                  </pic:spPr>
                </pic:pic>
              </a:graphicData>
            </a:graphic>
          </wp:inline>
        </w:drawing>
      </w:r>
    </w:p>
    <w:p>
      <w:pPr>
        <w:sectPr>
          <w:pgSz w:w="11520" w:h="17280"/>
          <w:pgMar w:top="0" w:right="0" w:bottom="0" w:left="0" w:header="0" w:footer="0" w:gutter="0"/>
          <w:cols w:space="720"/>
          <w:docGrid w:linePitch="360"/>
        </w:sectPr>
      </w:pPr>
    </w:p>
    <w:p>
      <w:pPr>
        <w:spacing w:before="160" w:after="40"/>
      </w:pPr>
      <w:r>
        <w:rPr>
          <w:rFonts w:ascii="Aptos" w:hAnsi="Aptos"/>
          <w:b/>
          <w:color w:val="C99B3A"/>
          <w:sz w:val="17"/>
        </w:rPr>
        <w:t>FIRST EDITION</w:t>
      </w:r>
    </w:p>
    <w:p>
      <w:pPr>
        <w:spacing w:after="80"/>
      </w:pPr>
      <w:r>
        <w:rPr>
          <w:rFonts w:ascii="Aptos Display" w:hAnsi="Aptos Display"/>
          <w:b/>
          <w:color w:val="0C2230"/>
          <w:sz w:val="48"/>
        </w:rPr>
        <w:t>About this report</w:t>
      </w:r>
    </w:p>
    <w:p>
      <w:pPr>
        <w:spacing w:after="200"/>
      </w:pPr>
      <w:r>
        <w:rPr>
          <w:rFonts w:ascii="Aptos" w:hAnsi="Aptos"/>
          <w:b w:val="0"/>
          <w:color w:val="5F6B72"/>
          <w:sz w:val="21"/>
        </w:rPr>
        <w:t>An open public research report from TitleChain Foundation - Q3 2026</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p>
      <w:pPr>
        <w:spacing w:after="160"/>
      </w:pPr>
      <w:r>
        <w:rPr>
          <w:rFonts w:ascii="Aptos Display" w:hAnsi="Aptos Display"/>
          <w:b/>
          <w:color w:val="0C2230"/>
          <w:sz w:val="36"/>
        </w:rPr>
        <w:t>M5Index - SHADOW CAMEL REPORT</w:t>
      </w:r>
    </w:p>
    <w:p>
      <w:pPr>
        <w:spacing w:after="80"/>
      </w:pPr>
      <w:r>
        <w:rPr>
          <w:rFonts w:ascii="Aptos" w:hAnsi="Aptos"/>
          <w:b w:val="0"/>
          <w:color w:val="C99B3A"/>
          <w:sz w:val="23"/>
        </w:rPr>
        <w:t>Tracking the real economy behind the headlines.</w:t>
      </w: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PUBLIC RESEARCH STANDARD</w:t>
            </w:r>
          </w:p>
          <w:p>
            <w:pPr>
              <w:spacing w:after="0" w:line="252" w:lineRule="auto"/>
            </w:pPr>
            <w:r>
              <w:rPr>
                <w:rFonts w:ascii="Aptos" w:hAnsi="Aptos"/>
                <w:b w:val="0"/>
                <w:color w:val="111111"/>
                <w:sz w:val="18"/>
              </w:rPr>
              <w:t>This first edition is a working public-research release. SHADOW separates verified records from unresolved questions. It is not a title-insurance product, appraisal, legal opinion, investment recommendation, or official bank CAMELS rating. Unknown remains unknown until evidence resolves it.</w:t>
            </w:r>
          </w:p>
        </w:tc>
      </w:tr>
    </w:tbl>
    <w:p>
      <w:pPr>
        <w:spacing w:after="0"/>
      </w:pPr>
    </w:p>
    <w:p>
      <w:pPr>
        <w:spacing w:after="100"/>
      </w:pPr>
      <w:r>
        <w:rPr>
          <w:rFonts w:ascii="Aptos" w:hAnsi="Aptos"/>
          <w:b/>
          <w:color w:val="0C2230"/>
          <w:sz w:val="24"/>
        </w:rPr>
        <w:t>Initial focus sectors</w:t>
      </w:r>
    </w:p>
    <w:p>
      <w:pPr>
        <w:pStyle w:val="ListBullet"/>
        <w:spacing w:after="60"/>
      </w:pPr>
      <w:r>
        <w:rPr>
          <w:rFonts w:ascii="Aptos" w:hAnsi="Aptos"/>
          <w:b w:val="0"/>
          <w:color w:val="111111"/>
          <w:sz w:val="19"/>
        </w:rPr>
        <w:t>Government assets: federal and other public real estate entering disposition, transfer, reuse, or redevelopment.</w:t>
      </w:r>
    </w:p>
    <w:p>
      <w:pPr>
        <w:pStyle w:val="ListBullet"/>
        <w:spacing w:after="60"/>
      </w:pPr>
      <w:r>
        <w:rPr>
          <w:rFonts w:ascii="Aptos" w:hAnsi="Aptos"/>
          <w:b w:val="0"/>
          <w:color w:val="111111"/>
          <w:sz w:val="19"/>
        </w:rPr>
        <w:t>Commercial real estate: property, debt, lender, ownership, servicing, maturity, restructuring, foreclosure, and value-migration signals.</w:t>
      </w:r>
    </w:p>
    <w:p>
      <w:pPr>
        <w:pStyle w:val="ListBullet"/>
        <w:spacing w:after="60"/>
      </w:pPr>
      <w:r>
        <w:rPr>
          <w:rFonts w:ascii="Aptos" w:hAnsi="Aptos"/>
          <w:b w:val="0"/>
          <w:color w:val="111111"/>
          <w:sz w:val="19"/>
        </w:rPr>
        <w:t>Farmland: title, operator, lease, debt, water, mineral, pipeline/easement, environmental, productivity, and long-term stewardship state.</w:t>
      </w:r>
    </w:p>
    <w:p>
      <w:pPr>
        <w:spacing w:before="120" w:after="60"/>
      </w:pPr>
      <w:r>
        <w:rPr>
          <w:rFonts w:ascii="Aptos" w:hAnsi="Aptos"/>
          <w:b/>
          <w:color w:val="0C2230"/>
          <w:sz w:val="21"/>
        </w:rPr>
        <w:t>Public Commons access</w:t>
      </w:r>
    </w:p>
    <w:p>
      <w:pPr>
        <w:spacing w:after="40"/>
      </w:pPr>
      <w:hyperlink r:id="rId12">
        <w:r>
          <w:rPr>
            <w:color w:val="315B6B"/>
          </w:rPr>
          <w:t>titlechainfoundation.org</w:t>
        </w:r>
      </w:hyperlink>
    </w:p>
    <w:p>
      <w:pPr>
        <w:spacing w:after="160"/>
      </w:pPr>
      <w:hyperlink r:id="rId13">
        <w:r>
          <w:rPr>
            <w:color w:val="315B6B"/>
          </w:rPr>
          <w:t>github.com/TitleChain-Foundation</w:t>
        </w:r>
      </w:hyperlink>
    </w:p>
    <w:p>
      <w:pPr>
        <w:spacing w:before="160" w:after="40"/>
      </w:pPr>
      <w:r>
        <w:rPr>
          <w:rFonts w:ascii="Aptos" w:hAnsi="Aptos"/>
          <w:b/>
          <w:color w:val="C99B3A"/>
          <w:sz w:val="17"/>
        </w:rPr>
        <w:t>CONTENTS</w:t>
      </w:r>
    </w:p>
    <w:p>
      <w:pPr>
        <w:spacing w:after="80"/>
      </w:pPr>
      <w:r>
        <w:rPr>
          <w:rFonts w:ascii="Aptos Display" w:hAnsi="Aptos Display"/>
          <w:b/>
          <w:color w:val="0C2230"/>
          <w:sz w:val="48"/>
        </w:rPr>
        <w:t>What is inside</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p>
      <w:pPr>
        <w:spacing w:after="80"/>
      </w:pPr>
      <w:r>
        <w:rPr>
          <w:rFonts w:ascii="Aptos" w:hAnsi="Aptos"/>
          <w:b/>
          <w:color w:val="0C2230"/>
          <w:sz w:val="21"/>
        </w:rPr>
        <w:t>1. Executive Summary</w:t>
      </w:r>
    </w:p>
    <w:p>
      <w:pPr>
        <w:spacing w:after="80"/>
      </w:pPr>
      <w:r>
        <w:rPr>
          <w:rFonts w:ascii="Aptos" w:hAnsi="Aptos"/>
          <w:b/>
          <w:color w:val="0C2230"/>
          <w:sz w:val="21"/>
        </w:rPr>
        <w:t>2. What SHADOW M5Index Measures</w:t>
      </w:r>
    </w:p>
    <w:p>
      <w:pPr>
        <w:spacing w:after="80"/>
      </w:pPr>
      <w:r>
        <w:rPr>
          <w:rFonts w:ascii="Aptos" w:hAnsi="Aptos"/>
          <w:b/>
          <w:color w:val="0C2230"/>
          <w:sz w:val="21"/>
        </w:rPr>
        <w:t>3. Q3 2026 Market Lens and Preliminary SHADOW CAMEL</w:t>
      </w:r>
    </w:p>
    <w:p>
      <w:pPr>
        <w:spacing w:after="80"/>
      </w:pPr>
      <w:r>
        <w:rPr>
          <w:rFonts w:ascii="Aptos" w:hAnsi="Aptos"/>
          <w:b/>
          <w:color w:val="0C2230"/>
          <w:sz w:val="21"/>
        </w:rPr>
        <w:t>4. M5 Economics Cheat Sheet</w:t>
      </w:r>
    </w:p>
    <w:p>
      <w:pPr>
        <w:spacing w:after="80"/>
      </w:pPr>
      <w:r>
        <w:rPr>
          <w:rFonts w:ascii="Aptos" w:hAnsi="Aptos"/>
          <w:b/>
          <w:color w:val="0C2230"/>
          <w:sz w:val="21"/>
        </w:rPr>
        <w:t>5. TitleChain Asset State</w:t>
      </w:r>
    </w:p>
    <w:p>
      <w:pPr>
        <w:spacing w:after="80"/>
      </w:pPr>
      <w:r>
        <w:rPr>
          <w:rFonts w:ascii="Aptos" w:hAnsi="Aptos"/>
          <w:b/>
          <w:color w:val="0C2230"/>
          <w:sz w:val="21"/>
        </w:rPr>
        <w:t>6. Priority Sectors: Government, Commercial Real Estate, Farmland</w:t>
      </w:r>
    </w:p>
    <w:p>
      <w:pPr>
        <w:spacing w:after="80"/>
      </w:pPr>
      <w:r>
        <w:rPr>
          <w:rFonts w:ascii="Aptos" w:hAnsi="Aptos"/>
          <w:b/>
          <w:color w:val="0C2230"/>
          <w:sz w:val="21"/>
        </w:rPr>
        <w:t>7. Initial Findings from the Seed Dataset</w:t>
      </w:r>
    </w:p>
    <w:p>
      <w:pPr>
        <w:spacing w:after="80"/>
      </w:pPr>
      <w:r>
        <w:rPr>
          <w:rFonts w:ascii="Aptos" w:hAnsi="Aptos"/>
          <w:b/>
          <w:color w:val="0C2230"/>
          <w:sz w:val="21"/>
        </w:rPr>
        <w:t>8. Featured Asset Profiles</w:t>
      </w:r>
    </w:p>
    <w:p>
      <w:pPr>
        <w:spacing w:after="80"/>
      </w:pPr>
      <w:r>
        <w:rPr>
          <w:rFonts w:ascii="Aptos" w:hAnsi="Aptos"/>
          <w:b/>
          <w:color w:val="0C2230"/>
          <w:sz w:val="21"/>
        </w:rPr>
        <w:t>9. People’s Trust Pathway</w:t>
      </w:r>
    </w:p>
    <w:p>
      <w:pPr>
        <w:spacing w:after="80"/>
      </w:pPr>
      <w:r>
        <w:rPr>
          <w:rFonts w:ascii="Aptos" w:hAnsi="Aptos"/>
          <w:b/>
          <w:color w:val="0C2230"/>
          <w:sz w:val="21"/>
        </w:rPr>
        <w:t>10. M5 Global Index and Exchange Feed</w:t>
      </w:r>
    </w:p>
    <w:p>
      <w:pPr>
        <w:spacing w:after="80"/>
      </w:pPr>
      <w:r>
        <w:rPr>
          <w:rFonts w:ascii="Aptos" w:hAnsi="Aptos"/>
          <w:b/>
          <w:color w:val="0C2230"/>
          <w:sz w:val="21"/>
        </w:rPr>
        <w:t>11. Methodology, Evidence, and Contribution Rules</w:t>
      </w:r>
    </w:p>
    <w:p>
      <w:pPr>
        <w:spacing w:after="80"/>
      </w:pPr>
      <w:r>
        <w:rPr>
          <w:rFonts w:ascii="Aptos" w:hAnsi="Aptos"/>
          <w:b w:val="0"/>
          <w:color w:val="5F6B72"/>
          <w:sz w:val="21"/>
        </w:rPr>
        <w:t>Appendix A. All Featured Properties</w:t>
      </w:r>
    </w:p>
    <w:p>
      <w:pPr>
        <w:spacing w:after="80"/>
      </w:pPr>
      <w:r>
        <w:rPr>
          <w:rFonts w:ascii="Aptos" w:hAnsi="Aptos"/>
          <w:b w:val="0"/>
          <w:color w:val="5F6B72"/>
          <w:sz w:val="21"/>
        </w:rPr>
        <w:t>Appendix B. Code Sheet</w:t>
      </w:r>
    </w:p>
    <w:p>
      <w:pPr>
        <w:spacing w:after="80"/>
      </w:pPr>
      <w:r>
        <w:rPr>
          <w:rFonts w:ascii="Aptos" w:hAnsi="Aptos"/>
          <w:b w:val="0"/>
          <w:color w:val="5F6B72"/>
          <w:sz w:val="21"/>
        </w:rPr>
        <w:t>Sources and Notes</w:t>
      </w:r>
    </w:p>
    <w:p>
      <w:pPr>
        <w:spacing w:before="160" w:after="40"/>
      </w:pPr>
      <w:r>
        <w:rPr>
          <w:rFonts w:ascii="Aptos" w:hAnsi="Aptos"/>
          <w:b/>
          <w:color w:val="C99B3A"/>
          <w:sz w:val="17"/>
        </w:rPr>
        <w:t>01</w:t>
      </w:r>
    </w:p>
    <w:p>
      <w:pPr>
        <w:spacing w:after="80"/>
      </w:pPr>
      <w:r>
        <w:rPr>
          <w:rFonts w:ascii="Aptos Display" w:hAnsi="Aptos Display"/>
          <w:b/>
          <w:color w:val="0C2230"/>
          <w:sz w:val="48"/>
        </w:rPr>
        <w:t>Executive Summary</w:t>
      </w:r>
    </w:p>
    <w:p>
      <w:pPr>
        <w:spacing w:after="200"/>
      </w:pPr>
      <w:r>
        <w:rPr>
          <w:rFonts w:ascii="Aptos" w:hAnsi="Aptos"/>
          <w:b w:val="0"/>
          <w:color w:val="5F6B72"/>
          <w:sz w:val="21"/>
        </w:rPr>
        <w:t>A first public map of old-world holdings, deal flow, title state, risk, and opportunity</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36</w:t>
            </w:r>
          </w:p>
          <w:p>
            <w:pPr>
              <w:spacing w:after="0"/>
              <w:jc w:val="center"/>
            </w:pPr>
            <w:r>
              <w:rPr>
                <w:rFonts w:ascii="Aptos" w:hAnsi="Aptos"/>
                <w:b/>
                <w:color w:val="5F6B72"/>
                <w:sz w:val="15"/>
              </w:rPr>
              <w:t>SEED ASSET RECORDS</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25</w:t>
            </w:r>
          </w:p>
          <w:p>
            <w:pPr>
              <w:spacing w:after="0"/>
              <w:jc w:val="center"/>
            </w:pPr>
            <w:r>
              <w:rPr>
                <w:rFonts w:ascii="Aptos" w:hAnsi="Aptos"/>
                <w:b/>
                <w:color w:val="5F6B72"/>
                <w:sz w:val="15"/>
              </w:rPr>
              <w:t>CLOSED DISPOSITIONS</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11</w:t>
            </w:r>
          </w:p>
          <w:p>
            <w:pPr>
              <w:spacing w:after="0"/>
              <w:jc w:val="center"/>
            </w:pPr>
            <w:r>
              <w:rPr>
                <w:rFonts w:ascii="Aptos" w:hAnsi="Aptos"/>
                <w:b/>
                <w:color w:val="5F6B72"/>
                <w:sz w:val="15"/>
              </w:rPr>
              <w:t>ACTIVE / PRE-CLOSE</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$570.8M</w:t>
            </w:r>
          </w:p>
          <w:p>
            <w:pPr>
              <w:spacing w:after="0"/>
              <w:jc w:val="center"/>
            </w:pPr>
            <w:r>
              <w:rPr>
                <w:rFonts w:ascii="Aptos" w:hAnsi="Aptos"/>
                <w:b/>
                <w:color w:val="5F6B72"/>
                <w:sz w:val="15"/>
              </w:rPr>
              <w:t>KNOWN CONSIDERATION</w:t>
            </w:r>
          </w:p>
        </w:tc>
      </w:tr>
    </w:tbl>
    <w:p>
      <w:pPr>
        <w:spacing w:after="0"/>
      </w:pPr>
    </w:p>
    <w:p>
      <w:pPr>
        <w:spacing w:before="80" w:after="100"/>
      </w:pPr>
      <w:r>
        <w:rPr>
          <w:rFonts w:ascii="Aptos" w:hAnsi="Aptos"/>
          <w:b w:val="0"/>
          <w:i/>
          <w:color w:val="5F6B72"/>
          <w:sz w:val="16"/>
        </w:rPr>
        <w:t>Seed dataset totals reflect the working SHADOW M5Index workbook as of the Q3 2026 research cut. Not every record is yet canonical; 25 records are marked SUBMITTED and 11 SOURCE_VERIFIED.</w:t>
      </w:r>
    </w:p>
    <w:p>
      <w:pPr>
        <w:spacing w:after="140" w:line="259" w:lineRule="auto"/>
      </w:pPr>
      <w:r>
        <w:rPr>
          <w:rFonts w:ascii="Aptos" w:hAnsi="Aptos"/>
          <w:b w:val="0"/>
          <w:color w:val="111111"/>
          <w:sz w:val="20"/>
        </w:rPr>
        <w:t>SHADOW M5Index is a transition-intelligence system. It begins with legacy holdings - public property, commercial real estate, debt, liens, rights, institutional ownership and underused assets - and follows the events that can move them: maturity, extension, modification, disposition, auction, note sale, foreclosure, transfer, acquisition, redevelopment, refinance and resale. The purpose is not to assume where value went. The purpose is to prove it.</w:t>
      </w: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THE CENTRAL QUESTION</w:t>
            </w:r>
          </w:p>
          <w:p>
            <w:pPr>
              <w:spacing w:after="0" w:line="252" w:lineRule="auto"/>
            </w:pPr>
            <w:r>
              <w:rPr>
                <w:rFonts w:ascii="Aptos" w:hAnsi="Aptos"/>
                <w:b w:val="0"/>
                <w:color w:val="111111"/>
                <w:sz w:val="18"/>
              </w:rPr>
              <w:t>What is moving out of the legacy economy, who is positioned to acquire it, what state is the title actually in, what obligations travel with it, and where does the ownership and economic value go next?</w:t>
            </w:r>
          </w:p>
        </w:tc>
      </w:tr>
    </w:tbl>
    <w:p>
      <w:pPr>
        <w:spacing w:after="0"/>
      </w:pPr>
    </w:p>
    <w:p>
      <w:pPr>
        <w:pStyle w:val="ListBullet"/>
        <w:spacing w:after="60"/>
      </w:pPr>
      <w:r>
        <w:rPr>
          <w:rFonts w:ascii="Aptos" w:hAnsi="Aptos"/>
          <w:b w:val="0"/>
          <w:color w:val="111111"/>
          <w:sz w:val="18"/>
        </w:rPr>
        <w:t>Federal disposition data often identifies the asset and transaction stage before it resolves the ultimate buyer, sponsor, lender, and capital source.</w:t>
      </w:r>
    </w:p>
    <w:p>
      <w:pPr>
        <w:pStyle w:val="ListBullet"/>
        <w:spacing w:after="60"/>
      </w:pPr>
      <w:r>
        <w:rPr>
          <w:rFonts w:ascii="Aptos" w:hAnsi="Aptos"/>
          <w:b w:val="0"/>
          <w:color w:val="111111"/>
          <w:sz w:val="18"/>
        </w:rPr>
        <w:t>Commercial real-estate stress is uneven: aggregate banking conditions remain resilient, while office and maturity-driven CMBS stress are materially higher than systemwide averages.</w:t>
      </w:r>
    </w:p>
    <w:p>
      <w:pPr>
        <w:pStyle w:val="ListBullet"/>
        <w:spacing w:after="60"/>
      </w:pPr>
      <w:r>
        <w:rPr>
          <w:rFonts w:ascii="Aptos" w:hAnsi="Aptos"/>
          <w:b w:val="0"/>
          <w:color w:val="111111"/>
          <w:sz w:val="18"/>
        </w:rPr>
        <w:t>A deed does not equal an unencumbered asset. Rights, liens, easements, environmental obligations, successor liabilities, and transfer restrictions must be represented as state.</w:t>
      </w:r>
    </w:p>
    <w:p>
      <w:pPr>
        <w:pStyle w:val="ListBullet"/>
        <w:spacing w:after="60"/>
      </w:pPr>
      <w:r>
        <w:rPr>
          <w:rFonts w:ascii="Aptos" w:hAnsi="Aptos"/>
          <w:b w:val="0"/>
          <w:color w:val="111111"/>
          <w:sz w:val="18"/>
        </w:rPr>
        <w:t>Public/nonprofit buyers and community-oriented acquisition attempts are present alongside private capital. SHADOW is designed to measure the actual proportions rather than assume them.</w:t>
      </w:r>
    </w:p>
    <w:p>
      <w:pPr>
        <w:pStyle w:val="ListBullet"/>
        <w:spacing w:after="60"/>
      </w:pPr>
      <w:r>
        <w:rPr>
          <w:rFonts w:ascii="Aptos" w:hAnsi="Aptos"/>
          <w:b w:val="0"/>
          <w:color w:val="111111"/>
          <w:sz w:val="18"/>
        </w:rPr>
        <w:t>The public value question is not only who finances an acquisition, but who retains the productive asset and residual economics after financing obligations are satisfied.</w:t>
      </w:r>
    </w:p>
    <w:p>
      <w:pPr>
        <w:spacing w:before="160" w:after="40"/>
      </w:pPr>
      <w:r>
        <w:rPr>
          <w:rFonts w:ascii="Aptos" w:hAnsi="Aptos"/>
          <w:b/>
          <w:color w:val="C99B3A"/>
          <w:sz w:val="17"/>
        </w:rPr>
        <w:t>02</w:t>
      </w:r>
    </w:p>
    <w:p>
      <w:pPr>
        <w:spacing w:after="80"/>
      </w:pPr>
      <w:r>
        <w:rPr>
          <w:rFonts w:ascii="Aptos Display" w:hAnsi="Aptos Display"/>
          <w:b/>
          <w:color w:val="0C2230"/>
          <w:sz w:val="48"/>
        </w:rPr>
        <w:t>What SHADOW M5Index Measures</w:t>
      </w:r>
    </w:p>
    <w:p>
      <w:pPr>
        <w:spacing w:after="200"/>
      </w:pPr>
      <w:r>
        <w:rPr>
          <w:rFonts w:ascii="Aptos" w:hAnsi="Aptos"/>
          <w:b w:val="0"/>
          <w:color w:val="5F6B72"/>
          <w:sz w:val="21"/>
        </w:rPr>
        <w:t>Systemic Holdings, Assets, Debt &amp; Ownership Watch</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792"/>
        <w:gridCol w:w="2088"/>
        <w:gridCol w:w="6624"/>
      </w:tblGrid>
      <w:tr>
        <w:trPr>
          <w:tblHeader w:val="true"/>
        </w:trPr>
        <w:tc>
          <w:tcPr>
            <w:tcW w:type="dxa" w:w="3389"/>
            <w:shd w:fill="0C2230"/>
          </w:tcPr>
          <w:p>
            <w:pPr>
              <w:jc w:val="center"/>
            </w:pPr>
            <w:r>
              <w:rPr>
                <w:rFonts w:ascii="Aptos" w:hAnsi="Aptos"/>
                <w:b/>
                <w:color w:val="FFFFFF"/>
                <w:sz w:val="17"/>
              </w:rPr>
              <w:t>Code</w:t>
            </w:r>
          </w:p>
        </w:tc>
        <w:tc>
          <w:tcPr>
            <w:tcW w:type="dxa" w:w="3389"/>
            <w:shd w:fill="0C2230"/>
          </w:tcPr>
          <w:p>
            <w:pPr>
              <w:jc w:val="center"/>
            </w:pPr>
            <w:r>
              <w:rPr>
                <w:rFonts w:ascii="Aptos" w:hAnsi="Aptos"/>
                <w:b/>
                <w:color w:val="FFFFFF"/>
                <w:sz w:val="17"/>
              </w:rPr>
              <w:t>Word</w:t>
            </w:r>
          </w:p>
        </w:tc>
        <w:tc>
          <w:tcPr>
            <w:tcW w:type="dxa" w:w="3389"/>
            <w:shd w:fill="0C2230"/>
          </w:tcPr>
          <w:p>
            <w:pPr>
              <w:jc w:val="center"/>
            </w:pPr>
            <w:r>
              <w:rPr>
                <w:rFonts w:ascii="Aptos" w:hAnsi="Aptos"/>
                <w:b/>
                <w:color w:val="FFFFFF"/>
                <w:sz w:val="17"/>
              </w:rPr>
              <w:t>Common meaning</w:t>
            </w:r>
          </w:p>
        </w:tc>
      </w:tr>
      <w:tr>
        <w:tc>
          <w:tcPr>
            <w:tcW w:type="dxa" w:w="3389"/>
            <w:shd w:fill="F8FAFB"/>
            <w:tcMar>
              <w:top w:w="70" w:type="dxa"/>
              <w:start w:w="80" w:type="dxa"/>
              <w:bottom w:w="70" w:type="dxa"/>
              <w:end w:w="80" w:type="dxa"/>
            </w:tcMar>
          </w:tcPr>
          <w:p>
            <w:r>
              <w:rPr>
                <w:rFonts w:ascii="Aptos" w:hAnsi="Aptos"/>
                <w:b/>
                <w:color w:val="0C2230"/>
                <w:sz w:val="17"/>
              </w:rPr>
              <w:t>S</w:t>
            </w:r>
          </w:p>
        </w:tc>
        <w:tc>
          <w:tcPr>
            <w:tcW w:type="dxa" w:w="3389"/>
            <w:shd w:fill="F8FAFB"/>
            <w:tcMar>
              <w:top w:w="70" w:type="dxa"/>
              <w:start w:w="80" w:type="dxa"/>
              <w:bottom w:w="70" w:type="dxa"/>
              <w:end w:w="80" w:type="dxa"/>
            </w:tcMar>
          </w:tcPr>
          <w:p>
            <w:r>
              <w:rPr>
                <w:rFonts w:ascii="Aptos" w:hAnsi="Aptos"/>
                <w:b/>
                <w:color w:val="0C2230"/>
                <w:sz w:val="17"/>
              </w:rPr>
              <w:t>Systemic</w:t>
            </w:r>
          </w:p>
        </w:tc>
        <w:tc>
          <w:tcPr>
            <w:tcW w:type="dxa" w:w="3389"/>
            <w:shd w:fill="F8FAFB"/>
            <w:tcMar>
              <w:top w:w="70" w:type="dxa"/>
              <w:start w:w="80" w:type="dxa"/>
              <w:bottom w:w="70" w:type="dxa"/>
              <w:end w:w="80" w:type="dxa"/>
            </w:tcMar>
          </w:tcPr>
          <w:p>
            <w:r>
              <w:rPr>
                <w:rFonts w:ascii="Aptos" w:hAnsi="Aptos"/>
                <w:b w:val="0"/>
                <w:color w:val="111111"/>
                <w:sz w:val="17"/>
              </w:rPr>
              <w:t>What else is this asset connected to?</w:t>
            </w:r>
          </w:p>
        </w:tc>
      </w:tr>
      <w:tr>
        <w:tc>
          <w:tcPr>
            <w:tcW w:type="dxa" w:w="3389"/>
            <w:shd w:fill="EEF3F5"/>
            <w:tcMar>
              <w:top w:w="70" w:type="dxa"/>
              <w:start w:w="80" w:type="dxa"/>
              <w:bottom w:w="70" w:type="dxa"/>
              <w:end w:w="80" w:type="dxa"/>
            </w:tcMar>
          </w:tcPr>
          <w:p>
            <w:r>
              <w:rPr>
                <w:rFonts w:ascii="Aptos" w:hAnsi="Aptos"/>
                <w:b/>
                <w:color w:val="0C2230"/>
                <w:sz w:val="17"/>
              </w:rPr>
              <w:t>H</w:t>
            </w:r>
          </w:p>
        </w:tc>
        <w:tc>
          <w:tcPr>
            <w:tcW w:type="dxa" w:w="3389"/>
            <w:shd w:fill="EEF3F5"/>
            <w:tcMar>
              <w:top w:w="70" w:type="dxa"/>
              <w:start w:w="80" w:type="dxa"/>
              <w:bottom w:w="70" w:type="dxa"/>
              <w:end w:w="80" w:type="dxa"/>
            </w:tcMar>
          </w:tcPr>
          <w:p>
            <w:r>
              <w:rPr>
                <w:rFonts w:ascii="Aptos" w:hAnsi="Aptos"/>
                <w:b/>
                <w:color w:val="0C2230"/>
                <w:sz w:val="17"/>
              </w:rPr>
              <w:t>Holdings</w:t>
            </w:r>
          </w:p>
        </w:tc>
        <w:tc>
          <w:tcPr>
            <w:tcW w:type="dxa" w:w="3389"/>
            <w:shd w:fill="EEF3F5"/>
            <w:tcMar>
              <w:top w:w="70" w:type="dxa"/>
              <w:start w:w="80" w:type="dxa"/>
              <w:bottom w:w="70" w:type="dxa"/>
              <w:end w:w="80" w:type="dxa"/>
            </w:tcMar>
          </w:tcPr>
          <w:p>
            <w:r>
              <w:rPr>
                <w:rFonts w:ascii="Aptos" w:hAnsi="Aptos"/>
                <w:b w:val="0"/>
                <w:color w:val="111111"/>
                <w:sz w:val="17"/>
              </w:rPr>
              <w:t>What does this person or entity actually hold or control?</w:t>
            </w:r>
          </w:p>
        </w:tc>
      </w:tr>
      <w:tr>
        <w:tc>
          <w:tcPr>
            <w:tcW w:type="dxa" w:w="3389"/>
            <w:shd w:fill="F8FAFB"/>
            <w:tcMar>
              <w:top w:w="70" w:type="dxa"/>
              <w:start w:w="80" w:type="dxa"/>
              <w:bottom w:w="70" w:type="dxa"/>
              <w:end w:w="80" w:type="dxa"/>
            </w:tcMar>
          </w:tcPr>
          <w:p>
            <w:r>
              <w:rPr>
                <w:rFonts w:ascii="Aptos" w:hAnsi="Aptos"/>
                <w:b/>
                <w:color w:val="0C2230"/>
                <w:sz w:val="17"/>
              </w:rPr>
              <w:t>A</w:t>
            </w:r>
          </w:p>
        </w:tc>
        <w:tc>
          <w:tcPr>
            <w:tcW w:type="dxa" w:w="3389"/>
            <w:shd w:fill="F8FAFB"/>
            <w:tcMar>
              <w:top w:w="70" w:type="dxa"/>
              <w:start w:w="80" w:type="dxa"/>
              <w:bottom w:w="70" w:type="dxa"/>
              <w:end w:w="80" w:type="dxa"/>
            </w:tcMar>
          </w:tcPr>
          <w:p>
            <w:r>
              <w:rPr>
                <w:rFonts w:ascii="Aptos" w:hAnsi="Aptos"/>
                <w:b/>
                <w:color w:val="0C2230"/>
                <w:sz w:val="17"/>
              </w:rPr>
              <w:t>Assets</w:t>
            </w:r>
          </w:p>
        </w:tc>
        <w:tc>
          <w:tcPr>
            <w:tcW w:type="dxa" w:w="3389"/>
            <w:shd w:fill="F8FAFB"/>
            <w:tcMar>
              <w:top w:w="70" w:type="dxa"/>
              <w:start w:w="80" w:type="dxa"/>
              <w:bottom w:w="70" w:type="dxa"/>
              <w:end w:w="80" w:type="dxa"/>
            </w:tcMar>
          </w:tcPr>
          <w:p>
            <w:r>
              <w:rPr>
                <w:rFonts w:ascii="Aptos" w:hAnsi="Aptos"/>
                <w:b w:val="0"/>
                <w:color w:val="111111"/>
                <w:sz w:val="17"/>
              </w:rPr>
              <w:t>What is the thing of legal or economic value?</w:t>
            </w:r>
          </w:p>
        </w:tc>
      </w:tr>
      <w:tr>
        <w:tc>
          <w:tcPr>
            <w:tcW w:type="dxa" w:w="3389"/>
            <w:shd w:fill="EEF3F5"/>
            <w:tcMar>
              <w:top w:w="70" w:type="dxa"/>
              <w:start w:w="80" w:type="dxa"/>
              <w:bottom w:w="70" w:type="dxa"/>
              <w:end w:w="80" w:type="dxa"/>
            </w:tcMar>
          </w:tcPr>
          <w:p>
            <w:r>
              <w:rPr>
                <w:rFonts w:ascii="Aptos" w:hAnsi="Aptos"/>
                <w:b/>
                <w:color w:val="0C2230"/>
                <w:sz w:val="17"/>
              </w:rPr>
              <w:t>D</w:t>
            </w:r>
          </w:p>
        </w:tc>
        <w:tc>
          <w:tcPr>
            <w:tcW w:type="dxa" w:w="3389"/>
            <w:shd w:fill="EEF3F5"/>
            <w:tcMar>
              <w:top w:w="70" w:type="dxa"/>
              <w:start w:w="80" w:type="dxa"/>
              <w:bottom w:w="70" w:type="dxa"/>
              <w:end w:w="80" w:type="dxa"/>
            </w:tcMar>
          </w:tcPr>
          <w:p>
            <w:r>
              <w:rPr>
                <w:rFonts w:ascii="Aptos" w:hAnsi="Aptos"/>
                <w:b/>
                <w:color w:val="0C2230"/>
                <w:sz w:val="17"/>
              </w:rPr>
              <w:t>Debt</w:t>
            </w:r>
          </w:p>
        </w:tc>
        <w:tc>
          <w:tcPr>
            <w:tcW w:type="dxa" w:w="3389"/>
            <w:shd w:fill="EEF3F5"/>
            <w:tcMar>
              <w:top w:w="70" w:type="dxa"/>
              <w:start w:w="80" w:type="dxa"/>
              <w:bottom w:w="70" w:type="dxa"/>
              <w:end w:w="80" w:type="dxa"/>
            </w:tcMar>
          </w:tcPr>
          <w:p>
            <w:r>
              <w:rPr>
                <w:rFonts w:ascii="Aptos" w:hAnsi="Aptos"/>
                <w:b w:val="0"/>
                <w:color w:val="111111"/>
                <w:sz w:val="17"/>
              </w:rPr>
              <w:t>Who is owed money, how much, and when does it become a pressure point?</w:t>
            </w:r>
          </w:p>
        </w:tc>
      </w:tr>
      <w:tr>
        <w:tc>
          <w:tcPr>
            <w:tcW w:type="dxa" w:w="3389"/>
            <w:shd w:fill="F8FAFB"/>
            <w:tcMar>
              <w:top w:w="70" w:type="dxa"/>
              <w:start w:w="80" w:type="dxa"/>
              <w:bottom w:w="70" w:type="dxa"/>
              <w:end w:w="80" w:type="dxa"/>
            </w:tcMar>
          </w:tcPr>
          <w:p>
            <w:r>
              <w:rPr>
                <w:rFonts w:ascii="Aptos" w:hAnsi="Aptos"/>
                <w:b/>
                <w:color w:val="0C2230"/>
                <w:sz w:val="17"/>
              </w:rPr>
              <w:t>O</w:t>
            </w:r>
          </w:p>
        </w:tc>
        <w:tc>
          <w:tcPr>
            <w:tcW w:type="dxa" w:w="3389"/>
            <w:shd w:fill="F8FAFB"/>
            <w:tcMar>
              <w:top w:w="70" w:type="dxa"/>
              <w:start w:w="80" w:type="dxa"/>
              <w:bottom w:w="70" w:type="dxa"/>
              <w:end w:w="80" w:type="dxa"/>
            </w:tcMar>
          </w:tcPr>
          <w:p>
            <w:r>
              <w:rPr>
                <w:rFonts w:ascii="Aptos" w:hAnsi="Aptos"/>
                <w:b/>
                <w:color w:val="0C2230"/>
                <w:sz w:val="17"/>
              </w:rPr>
              <w:t>Ownership</w:t>
            </w:r>
          </w:p>
        </w:tc>
        <w:tc>
          <w:tcPr>
            <w:tcW w:type="dxa" w:w="3389"/>
            <w:shd w:fill="F8FAFB"/>
            <w:tcMar>
              <w:top w:w="70" w:type="dxa"/>
              <w:start w:w="80" w:type="dxa"/>
              <w:bottom w:w="70" w:type="dxa"/>
              <w:end w:w="80" w:type="dxa"/>
            </w:tcMar>
          </w:tcPr>
          <w:p>
            <w:r>
              <w:rPr>
                <w:rFonts w:ascii="Aptos" w:hAnsi="Aptos"/>
                <w:b w:val="0"/>
                <w:color w:val="111111"/>
                <w:sz w:val="17"/>
              </w:rPr>
              <w:t>Who legally owns, economically controls, and ultimately benefits?</w:t>
            </w:r>
          </w:p>
        </w:tc>
      </w:tr>
      <w:tr>
        <w:tc>
          <w:tcPr>
            <w:tcW w:type="dxa" w:w="3389"/>
            <w:shd w:fill="EEF3F5"/>
            <w:tcMar>
              <w:top w:w="70" w:type="dxa"/>
              <w:start w:w="80" w:type="dxa"/>
              <w:bottom w:w="70" w:type="dxa"/>
              <w:end w:w="80" w:type="dxa"/>
            </w:tcMar>
          </w:tcPr>
          <w:p>
            <w:r>
              <w:rPr>
                <w:rFonts w:ascii="Aptos" w:hAnsi="Aptos"/>
                <w:b/>
                <w:color w:val="0C2230"/>
                <w:sz w:val="17"/>
              </w:rPr>
              <w:t>W</w:t>
            </w:r>
          </w:p>
        </w:tc>
        <w:tc>
          <w:tcPr>
            <w:tcW w:type="dxa" w:w="3389"/>
            <w:shd w:fill="EEF3F5"/>
            <w:tcMar>
              <w:top w:w="70" w:type="dxa"/>
              <w:start w:w="80" w:type="dxa"/>
              <w:bottom w:w="70" w:type="dxa"/>
              <w:end w:w="80" w:type="dxa"/>
            </w:tcMar>
          </w:tcPr>
          <w:p>
            <w:r>
              <w:rPr>
                <w:rFonts w:ascii="Aptos" w:hAnsi="Aptos"/>
                <w:b/>
                <w:color w:val="0C2230"/>
                <w:sz w:val="17"/>
              </w:rPr>
              <w:t>Watch</w:t>
            </w:r>
          </w:p>
        </w:tc>
        <w:tc>
          <w:tcPr>
            <w:tcW w:type="dxa" w:w="3389"/>
            <w:shd w:fill="EEF3F5"/>
            <w:tcMar>
              <w:top w:w="70" w:type="dxa"/>
              <w:start w:w="80" w:type="dxa"/>
              <w:bottom w:w="70" w:type="dxa"/>
              <w:end w:w="80" w:type="dxa"/>
            </w:tcMar>
          </w:tcPr>
          <w:p>
            <w:r>
              <w:rPr>
                <w:rFonts w:ascii="Aptos" w:hAnsi="Aptos"/>
                <w:b w:val="0"/>
                <w:color w:val="111111"/>
                <w:sz w:val="17"/>
              </w:rPr>
              <w:t>What is changing now?</w:t>
            </w:r>
          </w:p>
        </w:tc>
      </w:tr>
    </w:tbl>
    <w:p>
      <w:pPr>
        <w:spacing w:before="200" w:after="80"/>
      </w:pPr>
      <w:r>
        <w:rPr>
          <w:rFonts w:ascii="Aptos" w:hAnsi="Aptos"/>
          <w:b/>
          <w:color w:val="0C2230"/>
          <w:sz w:val="24"/>
        </w:rPr>
        <w:t>The SHADOW deal-flow feed</w:t>
      </w:r>
    </w:p>
    <w:p>
      <w:pPr>
        <w:pStyle w:val="ListBullet"/>
        <w:spacing w:after="60"/>
      </w:pPr>
      <w:r>
        <w:rPr>
          <w:rFonts w:ascii="Aptos" w:hAnsi="Aptos"/>
          <w:b w:val="0"/>
          <w:color w:val="111111"/>
          <w:sz w:val="18"/>
        </w:rPr>
        <w:t>GSA/public disposition notices and auctions</w:t>
      </w:r>
    </w:p>
    <w:p>
      <w:pPr>
        <w:pStyle w:val="ListBullet"/>
        <w:spacing w:after="60"/>
      </w:pPr>
      <w:r>
        <w:rPr>
          <w:rFonts w:ascii="Aptos" w:hAnsi="Aptos"/>
          <w:b w:val="0"/>
          <w:color w:val="111111"/>
          <w:sz w:val="18"/>
        </w:rPr>
        <w:t>County deeds, mortgages, assignments, releases and foreclosure records</w:t>
      </w:r>
    </w:p>
    <w:p>
      <w:pPr>
        <w:pStyle w:val="ListBullet"/>
        <w:spacing w:after="60"/>
      </w:pPr>
      <w:r>
        <w:rPr>
          <w:rFonts w:ascii="Aptos" w:hAnsi="Aptos"/>
          <w:b w:val="0"/>
          <w:color w:val="111111"/>
          <w:sz w:val="18"/>
        </w:rPr>
        <w:t>Bank Call Reports and public financial filings</w:t>
      </w:r>
    </w:p>
    <w:p>
      <w:pPr>
        <w:pStyle w:val="ListBullet"/>
        <w:spacing w:after="60"/>
      </w:pPr>
      <w:r>
        <w:rPr>
          <w:rFonts w:ascii="Aptos" w:hAnsi="Aptos"/>
          <w:b w:val="0"/>
          <w:color w:val="111111"/>
          <w:sz w:val="18"/>
        </w:rPr>
        <w:t>CRE maturity and CMBS servicing events</w:t>
      </w:r>
    </w:p>
    <w:p>
      <w:pPr>
        <w:pStyle w:val="ListBullet"/>
        <w:spacing w:after="60"/>
      </w:pPr>
      <w:r>
        <w:rPr>
          <w:rFonts w:ascii="Aptos" w:hAnsi="Aptos"/>
          <w:b w:val="0"/>
          <w:color w:val="111111"/>
          <w:sz w:val="18"/>
        </w:rPr>
        <w:t>Note sales, restructurings and receivership/foreclosure events</w:t>
      </w:r>
    </w:p>
    <w:p>
      <w:pPr>
        <w:pStyle w:val="ListBullet"/>
        <w:spacing w:after="60"/>
      </w:pPr>
      <w:r>
        <w:rPr>
          <w:rFonts w:ascii="Aptos" w:hAnsi="Aptos"/>
          <w:b w:val="0"/>
          <w:color w:val="111111"/>
          <w:sz w:val="18"/>
        </w:rPr>
        <w:t>Public-benefit conveyances and People’s Trust nominations</w:t>
      </w:r>
    </w:p>
    <w:p>
      <w:pPr>
        <w:pStyle w:val="ListBullet"/>
        <w:spacing w:after="60"/>
      </w:pPr>
      <w:r>
        <w:rPr>
          <w:rFonts w:ascii="Aptos" w:hAnsi="Aptos"/>
          <w:b w:val="0"/>
          <w:color w:val="111111"/>
          <w:sz w:val="18"/>
        </w:rPr>
        <w:t>Development entitlements, acquisition financing and subsequent refinancings</w:t>
      </w:r>
    </w:p>
    <w:p>
      <w:pPr>
        <w:spacing w:before="160" w:after="160"/>
        <w:jc w:val="center"/>
      </w:pPr>
      <w:r>
        <w:rPr>
          <w:rFonts w:ascii="Aptos" w:hAnsi="Aptos"/>
          <w:b/>
          <w:color w:val="C99B3A"/>
          <w:sz w:val="19"/>
        </w:rPr>
        <w:t>ASSET  →  OWNER  →  DEBT  →  LENDER  →  CAPITAL  →  RIGHTS  →  JURISDICTION  →  THREAT  →  TRANSFER  →  VALUE</w:t>
      </w:r>
    </w:p>
    <w:p>
      <w:pPr>
        <w:spacing w:before="160" w:after="40"/>
      </w:pPr>
      <w:r>
        <w:rPr>
          <w:rFonts w:ascii="Aptos" w:hAnsi="Aptos"/>
          <w:b/>
          <w:color w:val="C99B3A"/>
          <w:sz w:val="17"/>
        </w:rPr>
        <w:t>03</w:t>
      </w:r>
    </w:p>
    <w:p>
      <w:pPr>
        <w:spacing w:after="80"/>
      </w:pPr>
      <w:r>
        <w:rPr>
          <w:rFonts w:ascii="Aptos Display" w:hAnsi="Aptos Display"/>
          <w:b/>
          <w:color w:val="0C2230"/>
          <w:sz w:val="48"/>
        </w:rPr>
        <w:t>Q3 2026 Market Lens</w:t>
      </w:r>
    </w:p>
    <w:p>
      <w:pPr>
        <w:spacing w:after="200"/>
      </w:pPr>
      <w:r>
        <w:rPr>
          <w:rFonts w:ascii="Aptos" w:hAnsi="Aptos"/>
          <w:b w:val="0"/>
          <w:color w:val="5F6B72"/>
          <w:sz w:val="21"/>
        </w:rPr>
        <w:t>Strong aggregate bank capital; concentrated CRE and maturity pressure</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&gt;99%</w:t>
            </w:r>
          </w:p>
          <w:p>
            <w:pPr>
              <w:spacing w:after="0"/>
              <w:jc w:val="center"/>
            </w:pPr>
            <w:r>
              <w:rPr>
                <w:rFonts w:ascii="Aptos" w:hAnsi="Aptos"/>
                <w:b/>
                <w:color w:val="5F6B72"/>
                <w:sz w:val="15"/>
              </w:rPr>
              <w:t>BANKS WELL CAPITALIZED*</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$325.1B</w:t>
            </w:r>
          </w:p>
          <w:p>
            <w:pPr>
              <w:spacing w:after="0"/>
              <w:jc w:val="center"/>
            </w:pPr>
            <w:r>
              <w:rPr>
                <w:rFonts w:ascii="Aptos" w:hAnsi="Aptos"/>
                <w:b/>
                <w:color w:val="5F6B72"/>
                <w:sz w:val="15"/>
              </w:rPr>
              <w:t>Q1 UNREALIZED SECURITIES LOSSES</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12.00%</w:t>
            </w:r>
          </w:p>
          <w:p>
            <w:pPr>
              <w:spacing w:after="0"/>
              <w:jc w:val="center"/>
            </w:pPr>
            <w:r>
              <w:rPr>
                <w:rFonts w:ascii="Aptos" w:hAnsi="Aptos"/>
                <w:b/>
                <w:color w:val="5F6B72"/>
                <w:sz w:val="15"/>
              </w:rPr>
              <w:t>AUG OFFICE CMBS DELINQUENCY</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16.90%</w:t>
            </w:r>
          </w:p>
          <w:p>
            <w:pPr>
              <w:spacing w:after="0"/>
              <w:jc w:val="center"/>
            </w:pPr>
            <w:r>
              <w:rPr>
                <w:rFonts w:ascii="Aptos" w:hAnsi="Aptos"/>
                <w:b/>
                <w:color w:val="5F6B72"/>
                <w:sz w:val="15"/>
              </w:rPr>
              <w:t>AUG OFFICE SPECIAL SERVICING</w:t>
            </w:r>
          </w:p>
        </w:tc>
      </w:tr>
    </w:tbl>
    <w:p>
      <w:pPr>
        <w:spacing w:after="0"/>
      </w:pPr>
    </w:p>
    <w:p>
      <w:pPr>
        <w:spacing w:before="80" w:after="100"/>
      </w:pPr>
      <w:r>
        <w:rPr>
          <w:rFonts w:ascii="Aptos" w:hAnsi="Aptos"/>
          <w:b w:val="0"/>
          <w:i/>
          <w:color w:val="5F6B72"/>
          <w:sz w:val="16"/>
        </w:rPr>
        <w:t>*Federal Reserve: over 99% of banks were well capitalized at year-end 2025; aggregate CET1 ratios were about 13% for large and small banks. FDIC Q1 2026 unrealized securities losses were $325.1B. Trepp August 2026 office CMBS delinquency was 12.00% and office special servicing 16.90%.</w:t>
      </w:r>
    </w:p>
    <w:p>
      <w:pPr>
        <w:spacing w:after="120"/>
      </w:pPr>
      <w:r>
        <w:rPr>
          <w:rFonts w:ascii="Aptos" w:hAnsi="Aptos"/>
          <w:b/>
          <w:color w:val="0C2230"/>
          <w:sz w:val="22"/>
        </w:rPr>
        <w:t>The system-level picture is not the same as the property-level picture.</w:t>
      </w:r>
    </w:p>
    <w:p>
      <w:pPr>
        <w:spacing w:after="160" w:line="259" w:lineRule="auto"/>
      </w:pPr>
      <w:r>
        <w:rPr>
          <w:rFonts w:ascii="Aptos" w:hAnsi="Aptos"/>
          <w:b w:val="0"/>
          <w:color w:val="111111"/>
          <w:sz w:val="19"/>
        </w:rPr>
        <w:t>The Federal Reserve’s June 2026 supervision report described bank capital as strong and continued to focus on institutions concentrated in commercial real estate, especially office and multifamily. The 2026 stress test projected more than $708 billion of losses under a severe hypothetical recession while aggregate capital still remained above minimum requirements. At the same time, Trepp’s August data show materially higher stress inside securitized commercial real estate, particularly office. SHADOW treats that divergence as a reason to go bank-by-bank, loan-by-loan, and asset-by-asset rather than infer a systemwide crisis from one indicator.</w:t>
      </w:r>
    </w:p>
    <w:p>
      <w:pPr>
        <w:spacing w:after="80"/>
      </w:pPr>
      <w:r>
        <w:rPr>
          <w:rFonts w:ascii="Aptos" w:hAnsi="Aptos"/>
          <w:b/>
          <w:color w:val="0C2230"/>
          <w:sz w:val="24"/>
        </w:rPr>
        <w:t>Preliminary SHADOW CAMEL - public-data system read</w:t>
      </w: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PRELIMINARY SCORE: 1.8 / 5 - BAND 2 (STABLE / WATCH)</w:t>
            </w:r>
          </w:p>
          <w:p>
            <w:pPr>
              <w:spacing w:after="0" w:line="252" w:lineRule="auto"/>
            </w:pPr>
            <w:r>
              <w:rPr>
                <w:rFonts w:ascii="Aptos" w:hAnsi="Aptos"/>
                <w:b w:val="0"/>
                <w:color w:val="111111"/>
                <w:sz w:val="18"/>
              </w:rPr>
              <w:t>This is an experimental open-data index, not a confidential regulatory CAMELS rating. M* and S* are explicitly public proxies/inferences. The composite uses C 20%, A 25%, M* 10%, E 15%, L 15%, S* 15%. Confidence: B / methodology v0.1.</w:t>
            </w:r>
          </w:p>
        </w:tc>
      </w:tr>
    </w:tbl>
    <w:p>
      <w:pPr>
        <w:spacing w:after="0"/>
      </w:pPr>
    </w:p>
    <w:p>
      <w:pPr>
        <w:jc w:val="center"/>
      </w:pPr>
      <w:r>
        <w:drawing>
          <wp:inline xmlns:a="http://schemas.openxmlformats.org/drawingml/2006/main" xmlns:pic="http://schemas.openxmlformats.org/drawingml/2006/picture">
            <wp:extent cx="5852160" cy="3241132"/>
            <wp:docPr id="2" name="Picture 2"/>
            <wp:cNvGraphicFramePr>
              <a:graphicFrameLocks noChangeAspect="1"/>
            </wp:cNvGraphicFramePr>
            <a:graphic>
              <a:graphicData uri="http://schemas.openxmlformats.org/drawingml/2006/picture">
                <pic:pic>
                  <pic:nvPicPr>
                    <pic:cNvPr id="0" name="camel_components.png"/>
                    <pic:cNvPicPr/>
                  </pic:nvPicPr>
                  <pic:blipFill>
                    <a:blip r:embed="rId14"/>
                    <a:stretch>
                      <a:fillRect/>
                    </a:stretch>
                  </pic:blipFill>
                  <pic:spPr>
                    <a:xfrm>
                      <a:off x="0" y="0"/>
                      <a:ext cx="5852160" cy="3241132"/>
                    </a:xfrm>
                    <a:prstGeom prst="rect"/>
                  </pic:spPr>
                </pic:pic>
              </a:graphicData>
            </a:graphic>
          </wp:inline>
        </w:drawing>
      </w:r>
    </w:p>
    <w:p>
      <w:pPr>
        <w:pStyle w:val="ListBullet"/>
        <w:spacing w:after="60"/>
      </w:pPr>
      <w:r>
        <w:rPr>
          <w:rFonts w:ascii="Aptos" w:hAnsi="Aptos"/>
          <w:b w:val="0"/>
          <w:color w:val="111111"/>
          <w:sz w:val="18"/>
        </w:rPr>
        <w:t>C - Capital: 1. Strong aggregate capitalization and stress-test resilience.</w:t>
      </w:r>
    </w:p>
    <w:p>
      <w:pPr>
        <w:pStyle w:val="ListBullet"/>
        <w:spacing w:after="60"/>
      </w:pPr>
      <w:r>
        <w:rPr>
          <w:rFonts w:ascii="Aptos" w:hAnsi="Aptos"/>
          <w:b w:val="0"/>
          <w:color w:val="111111"/>
          <w:sz w:val="18"/>
        </w:rPr>
        <w:t>A - Asset Quality: 2. Broadly stable, with concentrated CRE/office and consumer pockets.</w:t>
      </w:r>
    </w:p>
    <w:p>
      <w:pPr>
        <w:pStyle w:val="ListBullet"/>
        <w:spacing w:after="60"/>
      </w:pPr>
      <w:r>
        <w:rPr>
          <w:rFonts w:ascii="Aptos" w:hAnsi="Aptos"/>
          <w:b w:val="0"/>
          <w:color w:val="111111"/>
          <w:sz w:val="18"/>
        </w:rPr>
        <w:t>M* - Management proxy: 2. Lowest-confidence component because internal governance/exam findings are not public.</w:t>
      </w:r>
    </w:p>
    <w:p>
      <w:pPr>
        <w:pStyle w:val="ListBullet"/>
        <w:spacing w:after="60"/>
      </w:pPr>
      <w:r>
        <w:rPr>
          <w:rFonts w:ascii="Aptos" w:hAnsi="Aptos"/>
          <w:b w:val="0"/>
          <w:color w:val="111111"/>
          <w:sz w:val="18"/>
        </w:rPr>
        <w:t>E - Earnings: 1. FDIC-insured institutions reported $80.5B of Q1 2026 net income and 1.26% ROA.</w:t>
      </w:r>
    </w:p>
    <w:p>
      <w:pPr>
        <w:pStyle w:val="ListBullet"/>
        <w:spacing w:after="60"/>
      </w:pPr>
      <w:r>
        <w:rPr>
          <w:rFonts w:ascii="Aptos" w:hAnsi="Aptos"/>
          <w:b w:val="0"/>
          <w:color w:val="111111"/>
          <w:sz w:val="18"/>
        </w:rPr>
        <w:t>L - Liquidity: 2. Broadly stable in aggregate; institution-level funding mix remains important.</w:t>
      </w:r>
    </w:p>
    <w:p>
      <w:pPr>
        <w:pStyle w:val="ListBullet"/>
        <w:spacing w:after="60"/>
      </w:pPr>
      <w:r>
        <w:rPr>
          <w:rFonts w:ascii="Aptos" w:hAnsi="Aptos"/>
          <w:b w:val="0"/>
          <w:color w:val="111111"/>
          <w:sz w:val="18"/>
        </w:rPr>
        <w:t>S* - Sensitivity: 3. Unrealized securities losses and property/refinancing repricing remain material public signals.</w:t>
      </w:r>
    </w:p>
    <w:p>
      <w:pPr>
        <w:spacing w:before="160" w:after="40"/>
      </w:pPr>
      <w:r>
        <w:rPr>
          <w:rFonts w:ascii="Aptos" w:hAnsi="Aptos"/>
          <w:b/>
          <w:color w:val="C99B3A"/>
          <w:sz w:val="17"/>
        </w:rPr>
        <w:t>04</w:t>
      </w:r>
    </w:p>
    <w:p>
      <w:pPr>
        <w:spacing w:after="80"/>
      </w:pPr>
      <w:r>
        <w:rPr>
          <w:rFonts w:ascii="Aptos Display" w:hAnsi="Aptos Display"/>
          <w:b/>
          <w:color w:val="0C2230"/>
          <w:sz w:val="48"/>
        </w:rPr>
        <w:t>M5 Economics Cheat Sheet</w:t>
      </w:r>
    </w:p>
    <w:p>
      <w:pPr>
        <w:spacing w:after="200"/>
      </w:pPr>
      <w:r>
        <w:rPr>
          <w:rFonts w:ascii="Aptos" w:hAnsi="Aptos"/>
          <w:b w:val="0"/>
          <w:color w:val="5F6B72"/>
          <w:sz w:val="21"/>
        </w:rPr>
        <w:t>Common language for the M5 stack, classifications, rights, and codes</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M5 IS THE SHIFT FROM USER TO ISSUER</w:t>
            </w:r>
          </w:p>
          <w:p>
            <w:pPr>
              <w:spacing w:after="0" w:line="252" w:lineRule="auto"/>
            </w:pPr>
            <w:r>
              <w:rPr>
                <w:rFonts w:ascii="Aptos" w:hAnsi="Aptos"/>
                <w:b w:val="0"/>
                <w:color w:val="111111"/>
                <w:sz w:val="18"/>
              </w:rPr>
              <w:t>The architecture starts with the accountable human or legal principal - identity, authority, jurisdiction, records, assets and delegated capability - rather than treating the person as merely a user inside someone else’s platform.</w:t>
            </w:r>
          </w:p>
        </w:tc>
      </w:tr>
    </w:tbl>
    <w:p>
      <w:pPr>
        <w:spacing w:after="0"/>
      </w:pPr>
    </w:p>
    <w:p>
      <w:pPr>
        <w:spacing w:after="80"/>
      </w:pPr>
      <w:r>
        <w:rPr>
          <w:rFonts w:ascii="Aptos" w:hAnsi="Aptos"/>
          <w:b/>
          <w:color w:val="0C2230"/>
          <w:sz w:val="24"/>
        </w:rPr>
        <w:t>Canonical identity and authority chain</w:t>
      </w:r>
    </w:p>
    <w:p>
      <w:pPr>
        <w:spacing w:after="160"/>
        <w:jc w:val="center"/>
      </w:pPr>
      <w:r>
        <w:rPr>
          <w:rFonts w:ascii="Aptos" w:hAnsi="Aptos"/>
          <w:b/>
          <w:color w:val="C99B3A"/>
          <w:sz w:val="20"/>
        </w:rPr>
        <w:t>M5IAM  →  TCID / M5HUM  →  private M5POD  →  M5-CV / SOPHIA  →  M5Canon  →  bounded M5AGT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41"/>
            <w:shd w:fill="0C2230"/>
          </w:tcPr>
          <w:p>
            <w:r>
              <w:rPr>
                <w:rFonts w:ascii="Aptos" w:hAnsi="Aptos"/>
                <w:b/>
                <w:color w:val="FFFFFF"/>
                <w:sz w:val="16"/>
              </w:rPr>
              <w:t>Authority</w:t>
            </w:r>
          </w:p>
        </w:tc>
        <w:tc>
          <w:tcPr>
            <w:tcW w:type="dxa" w:w="2541"/>
            <w:shd w:fill="0C2230"/>
          </w:tcPr>
          <w:p>
            <w:r>
              <w:rPr>
                <w:rFonts w:ascii="Aptos" w:hAnsi="Aptos"/>
                <w:b/>
                <w:color w:val="FFFFFF"/>
                <w:sz w:val="16"/>
              </w:rPr>
              <w:t>Meaning</w:t>
            </w:r>
          </w:p>
        </w:tc>
        <w:tc>
          <w:tcPr>
            <w:tcW w:type="dxa" w:w="2541"/>
            <w:shd w:fill="0C2230"/>
          </w:tcPr>
          <w:p>
            <w:r>
              <w:rPr>
                <w:rFonts w:ascii="Aptos" w:hAnsi="Aptos"/>
                <w:b/>
                <w:color w:val="FFFFFF"/>
                <w:sz w:val="16"/>
              </w:rPr>
              <w:t>Asset class</w:t>
            </w:r>
          </w:p>
        </w:tc>
        <w:tc>
          <w:tcPr>
            <w:tcW w:type="dxa" w:w="2541"/>
            <w:shd w:fill="0C2230"/>
          </w:tcPr>
          <w:p>
            <w:r>
              <w:rPr>
                <w:rFonts w:ascii="Aptos" w:hAnsi="Aptos"/>
                <w:b/>
                <w:color w:val="FFFFFF"/>
                <w:sz w:val="16"/>
              </w:rPr>
              <w:t>Meaning</w:t>
            </w:r>
          </w:p>
        </w:tc>
      </w:tr>
      <w:tr>
        <w:tc>
          <w:tcPr>
            <w:tcW w:type="dxa" w:w="2541"/>
            <w:shd w:fill="F8FAFB"/>
            <w:tcMar>
              <w:top w:w="70" w:type="dxa"/>
              <w:start w:w="70" w:type="dxa"/>
              <w:bottom w:w="70" w:type="dxa"/>
              <w:end w:w="70" w:type="dxa"/>
            </w:tcMar>
          </w:tcPr>
          <w:p>
            <w:r>
              <w:rPr>
                <w:rFonts w:ascii="Aptos" w:hAnsi="Aptos"/>
                <w:b/>
                <w:color w:val="0C2230"/>
                <w:sz w:val="16"/>
              </w:rPr>
              <w:t>M1 Bank of Me</w:t>
            </w:r>
          </w:p>
        </w:tc>
        <w:tc>
          <w:tcPr>
            <w:tcW w:type="dxa" w:w="2541"/>
            <w:shd w:fill="F8FAFB"/>
            <w:tcMar>
              <w:top w:w="70" w:type="dxa"/>
              <w:start w:w="70" w:type="dxa"/>
              <w:bottom w:w="70" w:type="dxa"/>
              <w:end w:w="70" w:type="dxa"/>
            </w:tcMar>
          </w:tcPr>
          <w:p>
            <w:r>
              <w:rPr>
                <w:rFonts w:ascii="Aptos" w:hAnsi="Aptos"/>
                <w:b w:val="0"/>
                <w:color w:val="111111"/>
                <w:sz w:val="16"/>
              </w:rPr>
              <w:t>Individual human/self; creator, owner, worker, sole proprietor, personal principal</w:t>
            </w:r>
          </w:p>
        </w:tc>
        <w:tc>
          <w:tcPr>
            <w:tcW w:type="dxa" w:w="2541"/>
            <w:shd w:fill="F8FAFB"/>
            <w:tcMar>
              <w:top w:w="70" w:type="dxa"/>
              <w:start w:w="70" w:type="dxa"/>
              <w:bottom w:w="70" w:type="dxa"/>
              <w:end w:w="70" w:type="dxa"/>
            </w:tcMar>
          </w:tcPr>
          <w:p>
            <w:r>
              <w:rPr>
                <w:rFonts w:ascii="Aptos" w:hAnsi="Aptos"/>
                <w:b/>
                <w:color w:val="0C2230"/>
                <w:sz w:val="16"/>
              </w:rPr>
              <w:t>M1</w:t>
            </w:r>
          </w:p>
        </w:tc>
        <w:tc>
          <w:tcPr>
            <w:tcW w:type="dxa" w:w="2541"/>
            <w:shd w:fill="F8FAFB"/>
            <w:tcMar>
              <w:top w:w="70" w:type="dxa"/>
              <w:start w:w="70" w:type="dxa"/>
              <w:bottom w:w="70" w:type="dxa"/>
              <w:end w:w="70" w:type="dxa"/>
            </w:tcMar>
          </w:tcPr>
          <w:p>
            <w:r>
              <w:rPr>
                <w:rFonts w:ascii="Aptos" w:hAnsi="Aptos"/>
                <w:b w:val="0"/>
                <w:color w:val="111111"/>
                <w:sz w:val="16"/>
              </w:rPr>
              <w:t>Utility / network / payment-like value</w:t>
            </w:r>
          </w:p>
        </w:tc>
      </w:tr>
      <w:tr>
        <w:tc>
          <w:tcPr>
            <w:tcW w:type="dxa" w:w="2541"/>
            <w:shd w:fill="EEF3F5"/>
            <w:tcMar>
              <w:top w:w="70" w:type="dxa"/>
              <w:start w:w="70" w:type="dxa"/>
              <w:bottom w:w="70" w:type="dxa"/>
              <w:end w:w="70" w:type="dxa"/>
            </w:tcMar>
          </w:tcPr>
          <w:p>
            <w:r>
              <w:rPr>
                <w:rFonts w:ascii="Aptos" w:hAnsi="Aptos"/>
                <w:b/>
                <w:color w:val="0C2230"/>
                <w:sz w:val="16"/>
              </w:rPr>
              <w:t>M2 Bank of Us</w:t>
            </w:r>
          </w:p>
        </w:tc>
        <w:tc>
          <w:tcPr>
            <w:tcW w:type="dxa" w:w="2541"/>
            <w:shd w:fill="EEF3F5"/>
            <w:tcMar>
              <w:top w:w="70" w:type="dxa"/>
              <w:start w:w="70" w:type="dxa"/>
              <w:bottom w:w="70" w:type="dxa"/>
              <w:end w:w="70" w:type="dxa"/>
            </w:tcMar>
          </w:tcPr>
          <w:p>
            <w:r>
              <w:rPr>
                <w:rFonts w:ascii="Aptos" w:hAnsi="Aptos"/>
                <w:b w:val="0"/>
                <w:color w:val="111111"/>
                <w:sz w:val="16"/>
              </w:rPr>
              <w:t>Cooperative, collective, community, association, DAO, union, member-governed structure</w:t>
            </w:r>
          </w:p>
        </w:tc>
        <w:tc>
          <w:tcPr>
            <w:tcW w:type="dxa" w:w="2541"/>
            <w:shd w:fill="EEF3F5"/>
            <w:tcMar>
              <w:top w:w="70" w:type="dxa"/>
              <w:start w:w="70" w:type="dxa"/>
              <w:bottom w:w="70" w:type="dxa"/>
              <w:end w:w="70" w:type="dxa"/>
            </w:tcMar>
          </w:tcPr>
          <w:p>
            <w:r>
              <w:rPr>
                <w:rFonts w:ascii="Aptos" w:hAnsi="Aptos"/>
                <w:b/>
                <w:color w:val="0C2230"/>
                <w:sz w:val="16"/>
              </w:rPr>
              <w:t>M2</w:t>
            </w:r>
          </w:p>
        </w:tc>
        <w:tc>
          <w:tcPr>
            <w:tcW w:type="dxa" w:w="2541"/>
            <w:shd w:fill="EEF3F5"/>
            <w:tcMar>
              <w:top w:w="70" w:type="dxa"/>
              <w:start w:w="70" w:type="dxa"/>
              <w:bottom w:w="70" w:type="dxa"/>
              <w:end w:w="70" w:type="dxa"/>
            </w:tcMar>
          </w:tcPr>
          <w:p>
            <w:r>
              <w:rPr>
                <w:rFonts w:ascii="Aptos" w:hAnsi="Aptos"/>
                <w:b w:val="0"/>
                <w:color w:val="111111"/>
                <w:sz w:val="16"/>
              </w:rPr>
              <w:t>Commodities</w:t>
            </w:r>
          </w:p>
        </w:tc>
      </w:tr>
      <w:tr>
        <w:tc>
          <w:tcPr>
            <w:tcW w:type="dxa" w:w="2541"/>
            <w:shd w:fill="F8FAFB"/>
            <w:tcMar>
              <w:top w:w="70" w:type="dxa"/>
              <w:start w:w="70" w:type="dxa"/>
              <w:bottom w:w="70" w:type="dxa"/>
              <w:end w:w="70" w:type="dxa"/>
            </w:tcMar>
          </w:tcPr>
          <w:p>
            <w:r>
              <w:rPr>
                <w:rFonts w:ascii="Aptos" w:hAnsi="Aptos"/>
                <w:b/>
                <w:color w:val="0C2230"/>
                <w:sz w:val="16"/>
              </w:rPr>
              <w:t>M3 Bank of Business</w:t>
            </w:r>
          </w:p>
        </w:tc>
        <w:tc>
          <w:tcPr>
            <w:tcW w:type="dxa" w:w="2541"/>
            <w:shd w:fill="F8FAFB"/>
            <w:tcMar>
              <w:top w:w="70" w:type="dxa"/>
              <w:start w:w="70" w:type="dxa"/>
              <w:bottom w:w="70" w:type="dxa"/>
              <w:end w:w="70" w:type="dxa"/>
            </w:tcMar>
          </w:tcPr>
          <w:p>
            <w:r>
              <w:rPr>
                <w:rFonts w:ascii="Aptos" w:hAnsi="Aptos"/>
                <w:b w:val="0"/>
                <w:color w:val="111111"/>
                <w:sz w:val="16"/>
              </w:rPr>
              <w:t>Company, venture, employer, vendor, partnership, commercial organization</w:t>
            </w:r>
          </w:p>
        </w:tc>
        <w:tc>
          <w:tcPr>
            <w:tcW w:type="dxa" w:w="2541"/>
            <w:shd w:fill="F8FAFB"/>
            <w:tcMar>
              <w:top w:w="70" w:type="dxa"/>
              <w:start w:w="70" w:type="dxa"/>
              <w:bottom w:w="70" w:type="dxa"/>
              <w:end w:w="70" w:type="dxa"/>
            </w:tcMar>
          </w:tcPr>
          <w:p>
            <w:r>
              <w:rPr>
                <w:rFonts w:ascii="Aptos" w:hAnsi="Aptos"/>
                <w:b/>
                <w:color w:val="0C2230"/>
                <w:sz w:val="16"/>
              </w:rPr>
              <w:t>M3</w:t>
            </w:r>
          </w:p>
        </w:tc>
        <w:tc>
          <w:tcPr>
            <w:tcW w:type="dxa" w:w="2541"/>
            <w:shd w:fill="F8FAFB"/>
            <w:tcMar>
              <w:top w:w="70" w:type="dxa"/>
              <w:start w:w="70" w:type="dxa"/>
              <w:bottom w:w="70" w:type="dxa"/>
              <w:end w:w="70" w:type="dxa"/>
            </w:tcMar>
          </w:tcPr>
          <w:p>
            <w:r>
              <w:rPr>
                <w:rFonts w:ascii="Aptos" w:hAnsi="Aptos"/>
                <w:b w:val="0"/>
                <w:color w:val="111111"/>
                <w:sz w:val="16"/>
              </w:rPr>
              <w:t>Titled one-of-a-kind / unique real-world assets</w:t>
            </w:r>
          </w:p>
        </w:tc>
      </w:tr>
      <w:tr>
        <w:tc>
          <w:tcPr>
            <w:tcW w:type="dxa" w:w="2541"/>
            <w:shd w:fill="EEF3F5"/>
            <w:tcMar>
              <w:top w:w="70" w:type="dxa"/>
              <w:start w:w="70" w:type="dxa"/>
              <w:bottom w:w="70" w:type="dxa"/>
              <w:end w:w="70" w:type="dxa"/>
            </w:tcMar>
          </w:tcPr>
          <w:p>
            <w:r>
              <w:rPr>
                <w:rFonts w:ascii="Aptos" w:hAnsi="Aptos"/>
                <w:b/>
                <w:color w:val="0C2230"/>
                <w:sz w:val="16"/>
              </w:rPr>
              <w:t>M4 Bank of Institution</w:t>
            </w:r>
          </w:p>
        </w:tc>
        <w:tc>
          <w:tcPr>
            <w:tcW w:type="dxa" w:w="2541"/>
            <w:shd w:fill="EEF3F5"/>
            <w:tcMar>
              <w:top w:w="70" w:type="dxa"/>
              <w:start w:w="70" w:type="dxa"/>
              <w:bottom w:w="70" w:type="dxa"/>
              <w:end w:w="70" w:type="dxa"/>
            </w:tcMar>
          </w:tcPr>
          <w:p>
            <w:r>
              <w:rPr>
                <w:rFonts w:ascii="Aptos" w:hAnsi="Aptos"/>
                <w:b w:val="0"/>
                <w:color w:val="111111"/>
                <w:sz w:val="16"/>
              </w:rPr>
              <w:t>Regulated institution, agency, university, bank, nonprofit, fiduciary, institutional authority</w:t>
            </w:r>
          </w:p>
        </w:tc>
        <w:tc>
          <w:tcPr>
            <w:tcW w:type="dxa" w:w="2541"/>
            <w:shd w:fill="EEF3F5"/>
            <w:tcMar>
              <w:top w:w="70" w:type="dxa"/>
              <w:start w:w="70" w:type="dxa"/>
              <w:bottom w:w="70" w:type="dxa"/>
              <w:end w:w="70" w:type="dxa"/>
            </w:tcMar>
          </w:tcPr>
          <w:p>
            <w:r>
              <w:rPr>
                <w:rFonts w:ascii="Aptos" w:hAnsi="Aptos"/>
                <w:b/>
                <w:color w:val="0C2230"/>
                <w:sz w:val="16"/>
              </w:rPr>
              <w:t>M4</w:t>
            </w:r>
          </w:p>
        </w:tc>
        <w:tc>
          <w:tcPr>
            <w:tcW w:type="dxa" w:w="2541"/>
            <w:shd w:fill="EEF3F5"/>
            <w:tcMar>
              <w:top w:w="70" w:type="dxa"/>
              <w:start w:w="70" w:type="dxa"/>
              <w:bottom w:w="70" w:type="dxa"/>
              <w:end w:w="70" w:type="dxa"/>
            </w:tcMar>
          </w:tcPr>
          <w:p>
            <w:r>
              <w:rPr>
                <w:rFonts w:ascii="Aptos" w:hAnsi="Aptos"/>
                <w:b w:val="0"/>
                <w:color w:val="111111"/>
                <w:sz w:val="16"/>
              </w:rPr>
              <w:t>Securities / financial instruments</w:t>
            </w:r>
          </w:p>
        </w:tc>
      </w:tr>
      <w:tr>
        <w:tc>
          <w:tcPr>
            <w:tcW w:type="dxa" w:w="2541"/>
            <w:shd w:fill="F8FAFB"/>
            <w:tcMar>
              <w:top w:w="70" w:type="dxa"/>
              <w:start w:w="70" w:type="dxa"/>
              <w:bottom w:w="70" w:type="dxa"/>
              <w:end w:w="70" w:type="dxa"/>
            </w:tcMar>
          </w:tcPr>
          <w:p>
            <w:r>
              <w:rPr>
                <w:rFonts w:ascii="Aptos" w:hAnsi="Aptos"/>
                <w:b/>
                <w:color w:val="0C2230"/>
                <w:sz w:val="16"/>
              </w:rPr>
              <w:t>M5 Bank of Governance / Government</w:t>
            </w:r>
          </w:p>
        </w:tc>
        <w:tc>
          <w:tcPr>
            <w:tcW w:type="dxa" w:w="2541"/>
            <w:shd w:fill="F8FAFB"/>
            <w:tcMar>
              <w:top w:w="70" w:type="dxa"/>
              <w:start w:w="70" w:type="dxa"/>
              <w:bottom w:w="70" w:type="dxa"/>
              <w:end w:w="70" w:type="dxa"/>
            </w:tcMar>
          </w:tcPr>
          <w:p>
            <w:r>
              <w:rPr>
                <w:rFonts w:ascii="Aptos" w:hAnsi="Aptos"/>
                <w:b w:val="0"/>
                <w:color w:val="111111"/>
                <w:sz w:val="16"/>
              </w:rPr>
              <w:t>Tribal, local, state, national, treaty, intergovernmental or governmental authority</w:t>
            </w:r>
          </w:p>
        </w:tc>
        <w:tc>
          <w:tcPr>
            <w:tcW w:type="dxa" w:w="2541"/>
            <w:shd w:fill="F8FAFB"/>
            <w:tcMar>
              <w:top w:w="70" w:type="dxa"/>
              <w:start w:w="70" w:type="dxa"/>
              <w:bottom w:w="70" w:type="dxa"/>
              <w:end w:w="70" w:type="dxa"/>
            </w:tcMar>
          </w:tcPr>
          <w:p>
            <w:r>
              <w:rPr>
                <w:rFonts w:ascii="Aptos" w:hAnsi="Aptos"/>
                <w:b/>
                <w:color w:val="0C2230"/>
                <w:sz w:val="16"/>
              </w:rPr>
              <w:t>M5</w:t>
            </w:r>
          </w:p>
        </w:tc>
        <w:tc>
          <w:tcPr>
            <w:tcW w:type="dxa" w:w="2541"/>
            <w:shd w:fill="F8FAFB"/>
            <w:tcMar>
              <w:top w:w="70" w:type="dxa"/>
              <w:start w:w="70" w:type="dxa"/>
              <w:bottom w:w="70" w:type="dxa"/>
              <w:end w:w="70" w:type="dxa"/>
            </w:tcMar>
          </w:tcPr>
          <w:p>
            <w:r>
              <w:rPr>
                <w:rFonts w:ascii="Aptos" w:hAnsi="Aptos"/>
                <w:b w:val="0"/>
                <w:color w:val="111111"/>
                <w:sz w:val="16"/>
              </w:rPr>
              <w:t>Sovereign / interbank</w:t>
            </w:r>
          </w:p>
        </w:tc>
      </w:tr>
    </w:tbl>
    <w:p>
      <w:pPr>
        <w:spacing w:before="80" w:after="100"/>
      </w:pPr>
      <w:r>
        <w:rPr>
          <w:rFonts w:ascii="Aptos" w:hAnsi="Aptos"/>
          <w:b w:val="0"/>
          <w:i/>
          <w:color w:val="5F6B72"/>
          <w:sz w:val="16"/>
        </w:rPr>
        <w:t>M1-M5 asset classes are internal M5/USC classifications and do not replace statutory, regulatory, tax, accounting, securities, commodity, title, or other legal classifications.</w:t>
      </w:r>
    </w:p>
    <w:p>
      <w:pPr>
        <w:spacing w:before="140" w:after="80"/>
      </w:pPr>
      <w:r>
        <w:rPr>
          <w:rFonts w:ascii="Aptos" w:hAnsi="Aptos"/>
          <w:b/>
          <w:color w:val="0C2230"/>
          <w:sz w:val="24"/>
        </w:rPr>
        <w:t>SR1-SR5 sovereign-right constraints</w:t>
      </w:r>
    </w:p>
    <w:p>
      <w:pPr>
        <w:pStyle w:val="ListBullet"/>
        <w:spacing w:after="60"/>
      </w:pPr>
      <w:r>
        <w:rPr>
          <w:rFonts w:ascii="Aptos" w:hAnsi="Aptos"/>
          <w:b w:val="0"/>
          <w:color w:val="111111"/>
          <w:sz w:val="18"/>
        </w:rPr>
        <w:t>SR1 - Sovereign Identity</w:t>
      </w:r>
    </w:p>
    <w:p>
      <w:pPr>
        <w:pStyle w:val="ListBullet"/>
        <w:spacing w:after="60"/>
      </w:pPr>
      <w:r>
        <w:rPr>
          <w:rFonts w:ascii="Aptos" w:hAnsi="Aptos"/>
          <w:b w:val="0"/>
          <w:color w:val="111111"/>
          <w:sz w:val="18"/>
        </w:rPr>
        <w:t>SR2 - Data Sovereignty</w:t>
      </w:r>
    </w:p>
    <w:p>
      <w:pPr>
        <w:pStyle w:val="ListBullet"/>
        <w:spacing w:after="60"/>
      </w:pPr>
      <w:r>
        <w:rPr>
          <w:rFonts w:ascii="Aptos" w:hAnsi="Aptos"/>
          <w:b w:val="0"/>
          <w:color w:val="111111"/>
          <w:sz w:val="18"/>
        </w:rPr>
        <w:t>SR3 - Financial Privacy</w:t>
      </w:r>
    </w:p>
    <w:p>
      <w:pPr>
        <w:pStyle w:val="ListBullet"/>
        <w:spacing w:after="60"/>
      </w:pPr>
      <w:r>
        <w:rPr>
          <w:rFonts w:ascii="Aptos" w:hAnsi="Aptos"/>
          <w:b w:val="0"/>
          <w:color w:val="111111"/>
          <w:sz w:val="18"/>
        </w:rPr>
        <w:t>SR4 - Self-Determination</w:t>
      </w:r>
    </w:p>
    <w:p>
      <w:pPr>
        <w:pStyle w:val="ListBullet"/>
        <w:spacing w:after="60"/>
      </w:pPr>
      <w:r>
        <w:rPr>
          <w:rFonts w:ascii="Aptos" w:hAnsi="Aptos"/>
          <w:b w:val="0"/>
          <w:color w:val="111111"/>
          <w:sz w:val="18"/>
        </w:rPr>
        <w:t>SR5 - Portability</w:t>
      </w:r>
    </w:p>
    <w:p>
      <w:pPr>
        <w:spacing w:before="120" w:after="80"/>
      </w:pPr>
      <w:r>
        <w:rPr>
          <w:rFonts w:ascii="Aptos" w:hAnsi="Aptos"/>
          <w:b/>
          <w:color w:val="0C2230"/>
          <w:sz w:val="24"/>
        </w:rPr>
        <w:t>Core M5 terms</w:t>
      </w:r>
    </w:p>
    <w:p>
      <w:pPr>
        <w:spacing w:after="40"/>
      </w:pPr>
      <w:r>
        <w:rPr>
          <w:rFonts w:ascii="Aptos" w:hAnsi="Aptos"/>
          <w:b/>
          <w:color w:val="0C2230"/>
          <w:sz w:val="18"/>
        </w:rPr>
        <w:t xml:space="preserve">M5HUM - </w:t>
      </w:r>
      <w:r>
        <w:rPr>
          <w:rFonts w:ascii="Aptos" w:hAnsi="Aptos"/>
          <w:b w:val="0"/>
          <w:color w:val="111111"/>
          <w:sz w:val="18"/>
        </w:rPr>
        <w:t>Credentialed human principal and root of delegated authority.</w:t>
      </w:r>
    </w:p>
    <w:p>
      <w:pPr>
        <w:spacing w:after="40"/>
      </w:pPr>
      <w:r>
        <w:rPr>
          <w:rFonts w:ascii="Aptos" w:hAnsi="Aptos"/>
          <w:b/>
          <w:color w:val="0C2230"/>
          <w:sz w:val="18"/>
        </w:rPr>
        <w:t xml:space="preserve">M5AGT - </w:t>
      </w:r>
      <w:r>
        <w:rPr>
          <w:rFonts w:ascii="Aptos" w:hAnsi="Aptos"/>
          <w:b w:val="0"/>
          <w:color w:val="111111"/>
          <w:sz w:val="18"/>
        </w:rPr>
        <w:t>Bounded software/AI agent; never receives more authority than the accountable principal.</w:t>
      </w:r>
    </w:p>
    <w:p>
      <w:pPr>
        <w:spacing w:after="40"/>
      </w:pPr>
      <w:r>
        <w:rPr>
          <w:rFonts w:ascii="Aptos" w:hAnsi="Aptos"/>
          <w:b/>
          <w:color w:val="0C2230"/>
          <w:sz w:val="18"/>
        </w:rPr>
        <w:t xml:space="preserve">M5POD - </w:t>
      </w:r>
      <w:r>
        <w:rPr>
          <w:rFonts w:ascii="Aptos" w:hAnsi="Aptos"/>
          <w:b w:val="0"/>
          <w:color w:val="111111"/>
          <w:sz w:val="18"/>
        </w:rPr>
        <w:t>Member-controlled private evidence container.</w:t>
      </w:r>
    </w:p>
    <w:p>
      <w:pPr>
        <w:spacing w:after="40"/>
      </w:pPr>
      <w:r>
        <w:rPr>
          <w:rFonts w:ascii="Aptos" w:hAnsi="Aptos"/>
          <w:b/>
          <w:color w:val="0C2230"/>
          <w:sz w:val="18"/>
        </w:rPr>
        <w:t xml:space="preserve">M5-CV - </w:t>
      </w:r>
      <w:r>
        <w:rPr>
          <w:rFonts w:ascii="Aptos" w:hAnsi="Aptos"/>
          <w:b w:val="0"/>
          <w:color w:val="111111"/>
          <w:sz w:val="18"/>
        </w:rPr>
        <w:t>Member-controlled roles, qualifications, credentials, capability and current-status record.</w:t>
      </w:r>
    </w:p>
    <w:p>
      <w:pPr>
        <w:spacing w:after="40"/>
      </w:pPr>
      <w:r>
        <w:rPr>
          <w:rFonts w:ascii="Aptos" w:hAnsi="Aptos"/>
          <w:b/>
          <w:color w:val="0C2230"/>
          <w:sz w:val="18"/>
        </w:rPr>
        <w:t xml:space="preserve">M5Canon - </w:t>
      </w:r>
      <w:r>
        <w:rPr>
          <w:rFonts w:ascii="Aptos" w:hAnsi="Aptos"/>
          <w:b w:val="0"/>
          <w:color w:val="111111"/>
          <w:sz w:val="18"/>
        </w:rPr>
        <w:t>Deterministic ontology/state machine evaluating authority, policy, consent, jurisdiction, restrictions, lifecycle, revocation and approvals.</w:t>
      </w:r>
    </w:p>
    <w:p>
      <w:pPr>
        <w:spacing w:after="40"/>
      </w:pPr>
      <w:r>
        <w:rPr>
          <w:rFonts w:ascii="Aptos" w:hAnsi="Aptos"/>
          <w:b/>
          <w:color w:val="0C2230"/>
          <w:sz w:val="18"/>
        </w:rPr>
        <w:t xml:space="preserve">M5MST - </w:t>
      </w:r>
      <w:r>
        <w:rPr>
          <w:rFonts w:ascii="Aptos" w:hAnsi="Aptos"/>
          <w:b w:val="0"/>
          <w:color w:val="111111"/>
          <w:sz w:val="18"/>
        </w:rPr>
        <w:t>Origination, Minting, Sovereign Registration, Transfer Authority - the M5 lifecycle/state layer.</w:t>
      </w:r>
    </w:p>
    <w:p>
      <w:pPr>
        <w:spacing w:after="40"/>
      </w:pPr>
      <w:r>
        <w:rPr>
          <w:rFonts w:ascii="Aptos" w:hAnsi="Aptos"/>
          <w:b/>
          <w:color w:val="0C2230"/>
          <w:sz w:val="18"/>
        </w:rPr>
        <w:t xml:space="preserve">M5 Global Index and Exchange - </w:t>
      </w:r>
      <w:r>
        <w:rPr>
          <w:rFonts w:ascii="Aptos" w:hAnsi="Aptos"/>
          <w:b w:val="0"/>
          <w:color w:val="111111"/>
          <w:sz w:val="18"/>
        </w:rPr>
        <w:t>Public economic-intelligence/index layer for provenance-aware data, methodologies and signals; “Exchange” does not mean a securities exchange or ATS.</w:t>
      </w:r>
    </w:p>
    <w:p>
      <w:pPr>
        <w:spacing w:before="160" w:after="40"/>
      </w:pPr>
      <w:r>
        <w:rPr>
          <w:rFonts w:ascii="Aptos" w:hAnsi="Aptos"/>
          <w:b/>
          <w:color w:val="C99B3A"/>
          <w:sz w:val="17"/>
        </w:rPr>
        <w:t>05</w:t>
      </w:r>
    </w:p>
    <w:p>
      <w:pPr>
        <w:spacing w:after="80"/>
      </w:pPr>
      <w:r>
        <w:rPr>
          <w:rFonts w:ascii="Aptos Display" w:hAnsi="Aptos Display"/>
          <w:b/>
          <w:color w:val="0C2230"/>
          <w:sz w:val="48"/>
        </w:rPr>
        <w:t>TitleChain Asset State</w:t>
      </w:r>
    </w:p>
    <w:p>
      <w:pPr>
        <w:spacing w:after="200"/>
      </w:pPr>
      <w:r>
        <w:rPr>
          <w:rFonts w:ascii="Aptos" w:hAnsi="Aptos"/>
          <w:b w:val="0"/>
          <w:color w:val="5F6B72"/>
          <w:sz w:val="21"/>
        </w:rPr>
        <w:t>A verified deed is not the same thing as an unencumbered asset</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STATE BEFORE SCORING</w:t>
            </w:r>
          </w:p>
          <w:p>
            <w:pPr>
              <w:spacing w:after="0" w:line="252" w:lineRule="auto"/>
            </w:pPr>
            <w:r>
              <w:rPr>
                <w:rFonts w:ascii="Aptos" w:hAnsi="Aptos"/>
                <w:b w:val="0"/>
                <w:color w:val="111111"/>
                <w:sz w:val="18"/>
              </w:rPr>
              <w:t>Before SHADOW scores an asset - and before a People’s Trust review or transfer - TitleChain must establish what is actually true about the titled asset right now, according to what authority, verified by whom, when, and subject to which rights, claims, obligations, restrictions, liabilities and unresolved conditions.</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0C2230"/>
          </w:tcPr>
          <w:p>
            <w:r>
              <w:rPr>
                <w:rFonts w:ascii="Aptos" w:hAnsi="Aptos"/>
                <w:b/>
                <w:color w:val="FFFFFF"/>
                <w:sz w:val="17"/>
              </w:rPr>
              <w:t>State element</w:t>
            </w:r>
          </w:p>
        </w:tc>
        <w:tc>
          <w:tcPr>
            <w:tcW w:type="dxa" w:w="5083"/>
            <w:shd w:fill="0C2230"/>
          </w:tcPr>
          <w:p>
            <w:r>
              <w:rPr>
                <w:rFonts w:ascii="Aptos" w:hAnsi="Aptos"/>
                <w:b/>
                <w:color w:val="FFFFFF"/>
                <w:sz w:val="17"/>
              </w:rPr>
              <w:t>What SHADOW / TitleChain must know</w:t>
            </w:r>
          </w:p>
        </w:tc>
      </w:tr>
      <w:tr>
        <w:tc>
          <w:tcPr>
            <w:tcW w:type="dxa" w:w="5083"/>
            <w:shd w:fill="F8FAFB"/>
            <w:tcMar>
              <w:top w:w="60" w:type="dxa"/>
              <w:start w:w="70" w:type="dxa"/>
              <w:bottom w:w="60" w:type="dxa"/>
              <w:end w:w="70" w:type="dxa"/>
            </w:tcMar>
          </w:tcPr>
          <w:p>
            <w:r>
              <w:rPr>
                <w:rFonts w:ascii="Aptos" w:hAnsi="Aptos"/>
                <w:b/>
                <w:color w:val="0C2230"/>
                <w:sz w:val="16"/>
              </w:rPr>
              <w:t>Asset identity</w:t>
            </w:r>
          </w:p>
        </w:tc>
        <w:tc>
          <w:tcPr>
            <w:tcW w:type="dxa" w:w="5083"/>
            <w:shd w:fill="F8FAFB"/>
            <w:tcMar>
              <w:top w:w="60" w:type="dxa"/>
              <w:start w:w="70" w:type="dxa"/>
              <w:bottom w:w="60" w:type="dxa"/>
              <w:end w:w="70" w:type="dxa"/>
            </w:tcMar>
          </w:tcPr>
          <w:p>
            <w:r>
              <w:rPr>
                <w:rFonts w:ascii="Aptos" w:hAnsi="Aptos"/>
                <w:b w:val="0"/>
                <w:color w:val="111111"/>
                <w:sz w:val="16"/>
              </w:rPr>
              <w:t>Parcel / legal description / deed or controlling record / jurisdiction / improvements</w:t>
            </w:r>
          </w:p>
        </w:tc>
      </w:tr>
      <w:tr>
        <w:tc>
          <w:tcPr>
            <w:tcW w:type="dxa" w:w="5083"/>
            <w:shd w:fill="EEF3F5"/>
            <w:tcMar>
              <w:top w:w="60" w:type="dxa"/>
              <w:start w:w="70" w:type="dxa"/>
              <w:bottom w:w="60" w:type="dxa"/>
              <w:end w:w="70" w:type="dxa"/>
            </w:tcMar>
          </w:tcPr>
          <w:p>
            <w:r>
              <w:rPr>
                <w:rFonts w:ascii="Aptos" w:hAnsi="Aptos"/>
                <w:b/>
                <w:color w:val="0C2230"/>
                <w:sz w:val="16"/>
              </w:rPr>
              <w:t>Provenance</w:t>
            </w:r>
          </w:p>
        </w:tc>
        <w:tc>
          <w:tcPr>
            <w:tcW w:type="dxa" w:w="5083"/>
            <w:shd w:fill="EEF3F5"/>
            <w:tcMar>
              <w:top w:w="60" w:type="dxa"/>
              <w:start w:w="70" w:type="dxa"/>
              <w:bottom w:w="60" w:type="dxa"/>
              <w:end w:w="70" w:type="dxa"/>
            </w:tcMar>
          </w:tcPr>
          <w:p>
            <w:r>
              <w:rPr>
                <w:rFonts w:ascii="Aptos" w:hAnsi="Aptos"/>
                <w:b w:val="0"/>
                <w:color w:val="111111"/>
                <w:sz w:val="16"/>
              </w:rPr>
              <w:t>Origination and chained title/right events</w:t>
            </w:r>
          </w:p>
        </w:tc>
      </w:tr>
      <w:tr>
        <w:tc>
          <w:tcPr>
            <w:tcW w:type="dxa" w:w="5083"/>
            <w:shd w:fill="F8FAFB"/>
            <w:tcMar>
              <w:top w:w="60" w:type="dxa"/>
              <w:start w:w="70" w:type="dxa"/>
              <w:bottom w:w="60" w:type="dxa"/>
              <w:end w:w="70" w:type="dxa"/>
            </w:tcMar>
          </w:tcPr>
          <w:p>
            <w:r>
              <w:rPr>
                <w:rFonts w:ascii="Aptos" w:hAnsi="Aptos"/>
                <w:b/>
                <w:color w:val="0C2230"/>
                <w:sz w:val="16"/>
              </w:rPr>
              <w:t>Title verification</w:t>
            </w:r>
          </w:p>
        </w:tc>
        <w:tc>
          <w:tcPr>
            <w:tcW w:type="dxa" w:w="5083"/>
            <w:shd w:fill="F8FAFB"/>
            <w:tcMar>
              <w:top w:w="60" w:type="dxa"/>
              <w:start w:w="70" w:type="dxa"/>
              <w:bottom w:w="60" w:type="dxa"/>
              <w:end w:w="70" w:type="dxa"/>
            </w:tcMar>
          </w:tcPr>
          <w:p>
            <w:r>
              <w:rPr>
                <w:rFonts w:ascii="Aptos" w:hAnsi="Aptos"/>
                <w:b w:val="0"/>
                <w:color w:val="111111"/>
                <w:sz w:val="16"/>
              </w:rPr>
              <w:t>Authoritative source, verifier, credential, method, time, freshness, limitations</w:t>
            </w:r>
          </w:p>
        </w:tc>
      </w:tr>
      <w:tr>
        <w:tc>
          <w:tcPr>
            <w:tcW w:type="dxa" w:w="5083"/>
            <w:shd w:fill="EEF3F5"/>
            <w:tcMar>
              <w:top w:w="60" w:type="dxa"/>
              <w:start w:w="70" w:type="dxa"/>
              <w:bottom w:w="60" w:type="dxa"/>
              <w:end w:w="70" w:type="dxa"/>
            </w:tcMar>
          </w:tcPr>
          <w:p>
            <w:r>
              <w:rPr>
                <w:rFonts w:ascii="Aptos" w:hAnsi="Aptos"/>
                <w:b/>
                <w:color w:val="0C2230"/>
                <w:sz w:val="16"/>
              </w:rPr>
              <w:t>Rights</w:t>
            </w:r>
          </w:p>
        </w:tc>
        <w:tc>
          <w:tcPr>
            <w:tcW w:type="dxa" w:w="5083"/>
            <w:shd w:fill="EEF3F5"/>
            <w:tcMar>
              <w:top w:w="60" w:type="dxa"/>
              <w:start w:w="70" w:type="dxa"/>
              <w:bottom w:w="60" w:type="dxa"/>
              <w:end w:w="70" w:type="dxa"/>
            </w:tcMar>
          </w:tcPr>
          <w:p>
            <w:r>
              <w:rPr>
                <w:rFonts w:ascii="Aptos" w:hAnsi="Aptos"/>
                <w:b w:val="0"/>
                <w:color w:val="111111"/>
                <w:sz w:val="16"/>
              </w:rPr>
              <w:t>Surface, subsurface, mineral, oil/gas, water, air, development, timber, access, leasehold, utility, pipeline, beneficial interests</w:t>
            </w:r>
          </w:p>
        </w:tc>
      </w:tr>
      <w:tr>
        <w:tc>
          <w:tcPr>
            <w:tcW w:type="dxa" w:w="5083"/>
            <w:shd w:fill="F8FAFB"/>
            <w:tcMar>
              <w:top w:w="60" w:type="dxa"/>
              <w:start w:w="70" w:type="dxa"/>
              <w:bottom w:w="60" w:type="dxa"/>
              <w:end w:w="70" w:type="dxa"/>
            </w:tcMar>
          </w:tcPr>
          <w:p>
            <w:r>
              <w:rPr>
                <w:rFonts w:ascii="Aptos" w:hAnsi="Aptos"/>
                <w:b/>
                <w:color w:val="0C2230"/>
                <w:sz w:val="16"/>
              </w:rPr>
              <w:t>Encumbrances</w:t>
            </w:r>
          </w:p>
        </w:tc>
        <w:tc>
          <w:tcPr>
            <w:tcW w:type="dxa" w:w="5083"/>
            <w:shd w:fill="F8FAFB"/>
            <w:tcMar>
              <w:top w:w="60" w:type="dxa"/>
              <w:start w:w="70" w:type="dxa"/>
              <w:bottom w:w="60" w:type="dxa"/>
              <w:end w:w="70" w:type="dxa"/>
            </w:tcMar>
          </w:tcPr>
          <w:p>
            <w:r>
              <w:rPr>
                <w:rFonts w:ascii="Aptos" w:hAnsi="Aptos"/>
                <w:b w:val="0"/>
                <w:color w:val="111111"/>
                <w:sz w:val="16"/>
              </w:rPr>
              <w:t>Mortgage, deed of trust, liens, easements, rights-of-way, leases, covenants, options, environmental liens</w:t>
            </w:r>
          </w:p>
        </w:tc>
      </w:tr>
      <w:tr>
        <w:tc>
          <w:tcPr>
            <w:tcW w:type="dxa" w:w="5083"/>
            <w:shd w:fill="EEF3F5"/>
            <w:tcMar>
              <w:top w:w="60" w:type="dxa"/>
              <w:start w:w="70" w:type="dxa"/>
              <w:bottom w:w="60" w:type="dxa"/>
              <w:end w:w="70" w:type="dxa"/>
            </w:tcMar>
          </w:tcPr>
          <w:p>
            <w:r>
              <w:rPr>
                <w:rFonts w:ascii="Aptos" w:hAnsi="Aptos"/>
                <w:b/>
                <w:color w:val="0C2230"/>
                <w:sz w:val="16"/>
              </w:rPr>
              <w:t>Claims</w:t>
            </w:r>
          </w:p>
        </w:tc>
        <w:tc>
          <w:tcPr>
            <w:tcW w:type="dxa" w:w="5083"/>
            <w:shd w:fill="EEF3F5"/>
            <w:tcMar>
              <w:top w:w="60" w:type="dxa"/>
              <w:start w:w="70" w:type="dxa"/>
              <w:bottom w:w="60" w:type="dxa"/>
              <w:end w:w="70" w:type="dxa"/>
            </w:tcMar>
          </w:tcPr>
          <w:p>
            <w:r>
              <w:rPr>
                <w:rFonts w:ascii="Aptos" w:hAnsi="Aptos"/>
                <w:b w:val="0"/>
                <w:color w:val="111111"/>
                <w:sz w:val="16"/>
              </w:rPr>
              <w:t>Asserted, recorded, disputed, validated, satisfied, released, unresolved</w:t>
            </w:r>
          </w:p>
        </w:tc>
      </w:tr>
      <w:tr>
        <w:tc>
          <w:tcPr>
            <w:tcW w:type="dxa" w:w="5083"/>
            <w:shd w:fill="F8FAFB"/>
            <w:tcMar>
              <w:top w:w="60" w:type="dxa"/>
              <w:start w:w="70" w:type="dxa"/>
              <w:bottom w:w="60" w:type="dxa"/>
              <w:end w:w="70" w:type="dxa"/>
            </w:tcMar>
          </w:tcPr>
          <w:p>
            <w:r>
              <w:rPr>
                <w:rFonts w:ascii="Aptos" w:hAnsi="Aptos"/>
                <w:b/>
                <w:color w:val="0C2230"/>
                <w:sz w:val="16"/>
              </w:rPr>
              <w:t>Obligations</w:t>
            </w:r>
          </w:p>
        </w:tc>
        <w:tc>
          <w:tcPr>
            <w:tcW w:type="dxa" w:w="5083"/>
            <w:shd w:fill="F8FAFB"/>
            <w:tcMar>
              <w:top w:w="60" w:type="dxa"/>
              <w:start w:w="70" w:type="dxa"/>
              <w:bottom w:w="60" w:type="dxa"/>
              <w:end w:w="70" w:type="dxa"/>
            </w:tcMar>
          </w:tcPr>
          <w:p>
            <w:r>
              <w:rPr>
                <w:rFonts w:ascii="Aptos" w:hAnsi="Aptos"/>
                <w:b w:val="0"/>
                <w:color w:val="111111"/>
                <w:sz w:val="16"/>
              </w:rPr>
              <w:t>Maintenance, tax, remediation, restoration, decommissioning, pipeline abandonment, plugging, preservation, tenant/public-benefit obligations</w:t>
            </w:r>
          </w:p>
        </w:tc>
      </w:tr>
      <w:tr>
        <w:tc>
          <w:tcPr>
            <w:tcW w:type="dxa" w:w="5083"/>
            <w:shd w:fill="EEF3F5"/>
            <w:tcMar>
              <w:top w:w="60" w:type="dxa"/>
              <w:start w:w="70" w:type="dxa"/>
              <w:bottom w:w="60" w:type="dxa"/>
              <w:end w:w="70" w:type="dxa"/>
            </w:tcMar>
          </w:tcPr>
          <w:p>
            <w:r>
              <w:rPr>
                <w:rFonts w:ascii="Aptos" w:hAnsi="Aptos"/>
                <w:b/>
                <w:color w:val="0C2230"/>
                <w:sz w:val="16"/>
              </w:rPr>
              <w:t>Environmental state</w:t>
            </w:r>
          </w:p>
        </w:tc>
        <w:tc>
          <w:tcPr>
            <w:tcW w:type="dxa" w:w="5083"/>
            <w:shd w:fill="EEF3F5"/>
            <w:tcMar>
              <w:top w:w="60" w:type="dxa"/>
              <w:start w:w="70" w:type="dxa"/>
              <w:bottom w:w="60" w:type="dxa"/>
              <w:end w:w="70" w:type="dxa"/>
            </w:tcMar>
          </w:tcPr>
          <w:p>
            <w:r>
              <w:rPr>
                <w:rFonts w:ascii="Aptos" w:hAnsi="Aptos"/>
                <w:b w:val="0"/>
                <w:color w:val="111111"/>
                <w:sz w:val="16"/>
              </w:rPr>
              <w:t>Known/suspected contamination, hazardous materials, underground infrastructure, remediation orders, responsible party, successor liability</w:t>
            </w:r>
          </w:p>
        </w:tc>
      </w:tr>
      <w:tr>
        <w:tc>
          <w:tcPr>
            <w:tcW w:type="dxa" w:w="5083"/>
            <w:shd w:fill="F8FAFB"/>
            <w:tcMar>
              <w:top w:w="60" w:type="dxa"/>
              <w:start w:w="70" w:type="dxa"/>
              <w:bottom w:w="60" w:type="dxa"/>
              <w:end w:w="70" w:type="dxa"/>
            </w:tcMar>
          </w:tcPr>
          <w:p>
            <w:r>
              <w:rPr>
                <w:rFonts w:ascii="Aptos" w:hAnsi="Aptos"/>
                <w:b/>
                <w:color w:val="0C2230"/>
                <w:sz w:val="16"/>
              </w:rPr>
              <w:t>Authority state</w:t>
            </w:r>
          </w:p>
        </w:tc>
        <w:tc>
          <w:tcPr>
            <w:tcW w:type="dxa" w:w="5083"/>
            <w:shd w:fill="F8FAFB"/>
            <w:tcMar>
              <w:top w:w="60" w:type="dxa"/>
              <w:start w:w="70" w:type="dxa"/>
              <w:bottom w:w="60" w:type="dxa"/>
              <w:end w:w="70" w:type="dxa"/>
            </w:tcMar>
          </w:tcPr>
          <w:p>
            <w:r>
              <w:rPr>
                <w:rFonts w:ascii="Aptos" w:hAnsi="Aptos"/>
                <w:b w:val="0"/>
                <w:color w:val="111111"/>
                <w:sz w:val="16"/>
              </w:rPr>
              <w:t>Owner, signer, manager, trustee, lender consent, governmental/regulatory/court authority</w:t>
            </w:r>
          </w:p>
        </w:tc>
      </w:tr>
      <w:tr>
        <w:tc>
          <w:tcPr>
            <w:tcW w:type="dxa" w:w="5083"/>
            <w:shd w:fill="EEF3F5"/>
            <w:tcMar>
              <w:top w:w="60" w:type="dxa"/>
              <w:start w:w="70" w:type="dxa"/>
              <w:bottom w:w="60" w:type="dxa"/>
              <w:end w:w="70" w:type="dxa"/>
            </w:tcMar>
          </w:tcPr>
          <w:p>
            <w:r>
              <w:rPr>
                <w:rFonts w:ascii="Aptos" w:hAnsi="Aptos"/>
                <w:b/>
                <w:color w:val="0C2230"/>
                <w:sz w:val="16"/>
              </w:rPr>
              <w:t>Transfer state</w:t>
            </w:r>
          </w:p>
        </w:tc>
        <w:tc>
          <w:tcPr>
            <w:tcW w:type="dxa" w:w="5083"/>
            <w:shd w:fill="EEF3F5"/>
            <w:tcMar>
              <w:top w:w="60" w:type="dxa"/>
              <w:start w:w="70" w:type="dxa"/>
              <w:bottom w:w="60" w:type="dxa"/>
              <w:end w:w="70" w:type="dxa"/>
            </w:tcMar>
          </w:tcPr>
          <w:p>
            <w:r>
              <w:rPr>
                <w:rFonts w:ascii="Aptos" w:hAnsi="Aptos"/>
                <w:b w:val="0"/>
                <w:color w:val="111111"/>
                <w:sz w:val="16"/>
              </w:rPr>
              <w:t>Restrictions, approvals, lien releases, title cure, eligibility, authorization, pending, recorded</w:t>
            </w:r>
          </w:p>
        </w:tc>
      </w:tr>
    </w:tbl>
    <w:p>
      <w:pPr>
        <w:spacing w:before="160" w:after="60"/>
      </w:pPr>
      <w:r>
        <w:rPr>
          <w:rFonts w:ascii="Aptos" w:hAnsi="Aptos"/>
          <w:b/>
          <w:color w:val="0C2230"/>
          <w:sz w:val="24"/>
        </w:rPr>
        <w:t>TSI - Title State Integrity</w:t>
      </w:r>
    </w:p>
    <w:p>
      <w:pPr>
        <w:spacing w:after="120"/>
      </w:pPr>
      <w:r>
        <w:rPr>
          <w:rFonts w:ascii="Aptos" w:hAnsi="Aptos"/>
          <w:b w:val="0"/>
          <w:color w:val="111111"/>
          <w:sz w:val="18"/>
        </w:rPr>
        <w:t>TSI measures how complete, current, verified and transferable the known title-and-rights state is. It does not replace title insurance or a legal opinion. It is the gate that prevents a seemingly inexpensive asset from being treated as “clean” when unresolved easements, pipeline rights, mineral reservations, remediation duties or successor liabilities may dominate the economics.</w:t>
      </w:r>
    </w:p>
    <w:p>
      <w:pPr>
        <w:spacing w:before="80" w:after="80"/>
      </w:pPr>
      <w:r>
        <w:rPr>
          <w:rFonts w:ascii="Aptos" w:hAnsi="Aptos"/>
          <w:b/>
          <w:color w:val="0C2230"/>
          <w:sz w:val="24"/>
        </w:rPr>
        <w:t>SHADOW state codes</w:t>
      </w:r>
    </w:p>
    <w:tbl>
      <w:tblPr>
        <w:tblW w:type="auto" w:w="0"/>
        <w:jc w:val="center"/>
        <w:tblLook w:firstColumn="1" w:firstRow="1" w:lastColumn="0" w:lastRow="0" w:noHBand="0" w:noVBand="1" w:val="04A0"/>
      </w:tblPr>
      <w:tblGrid>
        <w:gridCol w:w="3389"/>
        <w:gridCol w:w="3389"/>
        <w:gridCol w:w="3389"/>
      </w:tblGrid>
      <w:tr>
        <w:tc>
          <w:tcPr>
            <w:tcW w:type="dxa" w:w="3389"/>
            <w:shd w:fill="0C2230"/>
          </w:tcPr>
          <w:p>
            <w:r>
              <w:rPr>
                <w:rFonts w:ascii="Aptos" w:hAnsi="Aptos"/>
                <w:b/>
                <w:color w:val="FFFFFF"/>
                <w:sz w:val="16"/>
              </w:rPr>
              <w:t>Code</w:t>
            </w:r>
          </w:p>
        </w:tc>
        <w:tc>
          <w:tcPr>
            <w:tcW w:type="dxa" w:w="3389"/>
            <w:shd w:fill="0C2230"/>
          </w:tcPr>
          <w:p>
            <w:r>
              <w:rPr>
                <w:rFonts w:ascii="Aptos" w:hAnsi="Aptos"/>
                <w:b/>
                <w:color w:val="FFFFFF"/>
                <w:sz w:val="16"/>
              </w:rPr>
              <w:t>Family</w:t>
            </w:r>
          </w:p>
        </w:tc>
        <w:tc>
          <w:tcPr>
            <w:tcW w:type="dxa" w:w="3389"/>
            <w:shd w:fill="0C2230"/>
          </w:tcPr>
          <w:p>
            <w:r>
              <w:rPr>
                <w:rFonts w:ascii="Aptos" w:hAnsi="Aptos"/>
                <w:b/>
                <w:color w:val="FFFFFF"/>
                <w:sz w:val="16"/>
              </w:rPr>
              <w:t>Meaning</w:t>
            </w:r>
          </w:p>
        </w:tc>
      </w:tr>
      <w:tr>
        <w:tc>
          <w:tcPr>
            <w:tcW w:type="dxa" w:w="3389"/>
            <w:shd w:fill="F8FAFB"/>
          </w:tcPr>
          <w:p>
            <w:r>
              <w:rPr>
                <w:rFonts w:ascii="Aptos" w:hAnsi="Aptos"/>
                <w:b/>
                <w:color w:val="0C2230"/>
                <w:sz w:val="16"/>
              </w:rPr>
              <w:t>P0-P8</w:t>
            </w:r>
          </w:p>
        </w:tc>
        <w:tc>
          <w:tcPr>
            <w:tcW w:type="dxa" w:w="3389"/>
            <w:shd w:fill="F8FAFB"/>
          </w:tcPr>
          <w:p>
            <w:r>
              <w:rPr>
                <w:rFonts w:ascii="Aptos" w:hAnsi="Aptos"/>
                <w:b/>
                <w:color w:val="0C2230"/>
                <w:sz w:val="16"/>
              </w:rPr>
              <w:t>Public transition</w:t>
            </w:r>
          </w:p>
        </w:tc>
        <w:tc>
          <w:tcPr>
            <w:tcW w:type="dxa" w:w="3389"/>
            <w:shd w:fill="F8FAFB"/>
          </w:tcPr>
          <w:p>
            <w:r>
              <w:rPr>
                <w:rFonts w:ascii="Aptos" w:hAnsi="Aptos"/>
                <w:b w:val="0"/>
                <w:color w:val="111111"/>
                <w:sz w:val="16"/>
              </w:rPr>
              <w:t>Identified → Review → Marketed → Bidding → High bidder → Under contract → Closed → Redevelopment → Refinance/resale</w:t>
            </w:r>
          </w:p>
        </w:tc>
      </w:tr>
      <w:tr>
        <w:tc>
          <w:tcPr>
            <w:tcW w:type="dxa" w:w="3389"/>
            <w:shd w:fill="EEF3F5"/>
          </w:tcPr>
          <w:p>
            <w:r>
              <w:rPr>
                <w:rFonts w:ascii="Aptos" w:hAnsi="Aptos"/>
                <w:b/>
                <w:color w:val="0C2230"/>
                <w:sz w:val="16"/>
              </w:rPr>
              <w:t>S0-S4</w:t>
            </w:r>
          </w:p>
        </w:tc>
        <w:tc>
          <w:tcPr>
            <w:tcW w:type="dxa" w:w="3389"/>
            <w:shd w:fill="EEF3F5"/>
          </w:tcPr>
          <w:p>
            <w:r>
              <w:rPr>
                <w:rFonts w:ascii="Aptos" w:hAnsi="Aptos"/>
                <w:b/>
                <w:color w:val="0C2230"/>
                <w:sz w:val="16"/>
              </w:rPr>
              <w:t>Transaction proof</w:t>
            </w:r>
          </w:p>
        </w:tc>
        <w:tc>
          <w:tcPr>
            <w:tcW w:type="dxa" w:w="3389"/>
            <w:shd w:fill="EEF3F5"/>
          </w:tcPr>
          <w:p>
            <w:r>
              <w:rPr>
                <w:rFonts w:ascii="Aptos" w:hAnsi="Aptos"/>
                <w:b w:val="0"/>
                <w:color w:val="111111"/>
                <w:sz w:val="16"/>
              </w:rPr>
              <w:t>Listed → Auction completed → Award announced → Closing confirmed → Deed confirmed</w:t>
            </w:r>
          </w:p>
        </w:tc>
      </w:tr>
      <w:tr>
        <w:tc>
          <w:tcPr>
            <w:tcW w:type="dxa" w:w="3389"/>
            <w:shd w:fill="F8FAFB"/>
          </w:tcPr>
          <w:p>
            <w:r>
              <w:rPr>
                <w:rFonts w:ascii="Aptos" w:hAnsi="Aptos"/>
                <w:b/>
                <w:color w:val="0C2230"/>
                <w:sz w:val="16"/>
              </w:rPr>
              <w:t>O0-O5</w:t>
            </w:r>
          </w:p>
        </w:tc>
        <w:tc>
          <w:tcPr>
            <w:tcW w:type="dxa" w:w="3389"/>
            <w:shd w:fill="F8FAFB"/>
          </w:tcPr>
          <w:p>
            <w:r>
              <w:rPr>
                <w:rFonts w:ascii="Aptos" w:hAnsi="Aptos"/>
                <w:b/>
                <w:color w:val="0C2230"/>
                <w:sz w:val="16"/>
              </w:rPr>
              <w:t>Ownership resolution</w:t>
            </w:r>
          </w:p>
        </w:tc>
        <w:tc>
          <w:tcPr>
            <w:tcW w:type="dxa" w:w="3389"/>
            <w:shd w:fill="F8FAFB"/>
          </w:tcPr>
          <w:p>
            <w:r>
              <w:rPr>
                <w:rFonts w:ascii="Aptos" w:hAnsi="Aptos"/>
                <w:b w:val="0"/>
                <w:color w:val="111111"/>
                <w:sz w:val="16"/>
              </w:rPr>
              <w:t>Buyer undisclosed → Grantee → Principals → Sponsor → Lender → Ultimate capital resolved</w:t>
            </w:r>
          </w:p>
        </w:tc>
      </w:tr>
      <w:tr>
        <w:tc>
          <w:tcPr>
            <w:tcW w:type="dxa" w:w="3389"/>
            <w:shd w:fill="EEF3F5"/>
          </w:tcPr>
          <w:p>
            <w:r>
              <w:rPr>
                <w:rFonts w:ascii="Aptos" w:hAnsi="Aptos"/>
                <w:b/>
                <w:color w:val="0C2230"/>
                <w:sz w:val="16"/>
              </w:rPr>
              <w:t>Evidence</w:t>
            </w:r>
          </w:p>
        </w:tc>
        <w:tc>
          <w:tcPr>
            <w:tcW w:type="dxa" w:w="3389"/>
            <w:shd w:fill="EEF3F5"/>
          </w:tcPr>
          <w:p>
            <w:r>
              <w:rPr>
                <w:rFonts w:ascii="Aptos" w:hAnsi="Aptos"/>
                <w:b/>
                <w:color w:val="0C2230"/>
                <w:sz w:val="16"/>
              </w:rPr>
              <w:t>Claim state</w:t>
            </w:r>
          </w:p>
        </w:tc>
        <w:tc>
          <w:tcPr>
            <w:tcW w:type="dxa" w:w="3389"/>
            <w:shd w:fill="EEF3F5"/>
          </w:tcPr>
          <w:p>
            <w:r>
              <w:rPr>
                <w:rFonts w:ascii="Aptos" w:hAnsi="Aptos"/>
                <w:b w:val="0"/>
                <w:color w:val="111111"/>
                <w:sz w:val="16"/>
              </w:rPr>
              <w:t>Submitted → Source verified → Corroborated → Canonical; also Disputed / Unresolved / Rejected / Corrected / Superseded</w:t>
            </w:r>
          </w:p>
        </w:tc>
      </w:tr>
    </w:tbl>
    <w:p>
      <w:pPr>
        <w:spacing w:before="160" w:after="40"/>
      </w:pPr>
      <w:r>
        <w:rPr>
          <w:rFonts w:ascii="Aptos" w:hAnsi="Aptos"/>
          <w:b/>
          <w:color w:val="C99B3A"/>
          <w:sz w:val="17"/>
        </w:rPr>
        <w:t>06</w:t>
      </w:r>
    </w:p>
    <w:p>
      <w:pPr>
        <w:spacing w:after="80"/>
      </w:pPr>
      <w:r>
        <w:rPr>
          <w:rFonts w:ascii="Aptos Display" w:hAnsi="Aptos Display"/>
          <w:b/>
          <w:color w:val="0C2230"/>
          <w:sz w:val="48"/>
        </w:rPr>
        <w:t>Priority Sectors</w:t>
      </w:r>
    </w:p>
    <w:p>
      <w:pPr>
        <w:spacing w:after="200"/>
      </w:pPr>
      <w:r>
        <w:rPr>
          <w:rFonts w:ascii="Aptos" w:hAnsi="Aptos"/>
          <w:b w:val="0"/>
          <w:color w:val="5F6B72"/>
          <w:sz w:val="21"/>
        </w:rPr>
        <w:t>Government assets, commercial real estate, and farmland</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ook w:firstColumn="1" w:firstRow="1" w:lastColumn="0" w:lastRow="0" w:noHBand="0" w:noVBand="1" w:val="04A0"/>
      </w:tblPr>
      <w:tblGrid>
        <w:gridCol w:w="10166"/>
      </w:tblGrid>
      <w:tr>
        <w:tc>
          <w:tcPr>
            <w:tcW w:type="dxa" w:w="10166"/>
            <w:shd w:fill="F6F8F9"/>
            <w:tcMar>
              <w:top w:w="140" w:type="dxa"/>
              <w:start w:w="150" w:type="dxa"/>
              <w:bottom w:w="140" w:type="dxa"/>
              <w:end w:w="150" w:type="dxa"/>
            </w:tcMar>
            <w:tcBorders>
              <w:left w:val="single" w:sz="18" w:color="C99B3A"/>
            </w:tcBorders>
          </w:tcPr>
          <w:p>
            <w:r>
              <w:rPr>
                <w:rFonts w:ascii="Aptos Display" w:hAnsi="Aptos Display"/>
                <w:b/>
                <w:color w:val="0C2230"/>
                <w:sz w:val="26"/>
              </w:rPr>
              <w:t>GOVERNMENT ASSETS</w:t>
            </w:r>
          </w:p>
          <w:p>
            <w:pPr>
              <w:spacing w:after="60"/>
            </w:pPr>
            <w:r>
              <w:rPr>
                <w:rFonts w:ascii="Aptos" w:hAnsi="Aptos"/>
                <w:b/>
                <w:color w:val="C99B3A"/>
                <w:sz w:val="16"/>
              </w:rPr>
              <w:t>PUBLIC VALUE + ACCOUNTABILITY</w:t>
            </w:r>
          </w:p>
          <w:p>
            <w:pPr>
              <w:spacing w:after="0"/>
            </w:pPr>
            <w:r>
              <w:rPr>
                <w:rFonts w:ascii="Aptos" w:hAnsi="Aptos"/>
                <w:b w:val="0"/>
                <w:color w:val="111111"/>
                <w:sz w:val="18"/>
              </w:rPr>
              <w:t>Disposition stage, statutory process, title/restrictions, current occupancy, deferred maintenance, public-benefit eligibility, buyer/capital provenance, post-transfer value migration.</w:t>
            </w:r>
          </w:p>
        </w:tc>
      </w:tr>
      <w:tr>
        <w:tc>
          <w:tcPr>
            <w:tcW w:type="dxa" w:w="10166"/>
            <w:shd w:fill="F6F8F9"/>
            <w:tcMar>
              <w:top w:w="140" w:type="dxa"/>
              <w:start w:w="150" w:type="dxa"/>
              <w:bottom w:w="140" w:type="dxa"/>
              <w:end w:w="150" w:type="dxa"/>
            </w:tcMar>
            <w:tcBorders>
              <w:left w:val="single" w:sz="18" w:color="C99B3A"/>
            </w:tcBorders>
          </w:tcPr>
          <w:p>
            <w:r>
              <w:rPr>
                <w:rFonts w:ascii="Aptos Display" w:hAnsi="Aptos Display"/>
                <w:b/>
                <w:color w:val="0C2230"/>
                <w:sz w:val="26"/>
              </w:rPr>
              <w:t>COMMERCIAL REAL ESTATE</w:t>
            </w:r>
          </w:p>
          <w:p>
            <w:pPr>
              <w:spacing w:after="60"/>
            </w:pPr>
            <w:r>
              <w:rPr>
                <w:rFonts w:ascii="Aptos" w:hAnsi="Aptos"/>
                <w:b/>
                <w:color w:val="C99B3A"/>
                <w:sz w:val="16"/>
              </w:rPr>
              <w:t>DEBT + TRANSITION PRESSURE</w:t>
            </w:r>
          </w:p>
          <w:p>
            <w:pPr>
              <w:spacing w:after="0"/>
            </w:pPr>
            <w:r>
              <w:rPr>
                <w:rFonts w:ascii="Aptos" w:hAnsi="Aptos"/>
                <w:b w:val="0"/>
                <w:color w:val="111111"/>
                <w:sz w:val="18"/>
              </w:rPr>
              <w:t>Borrower/SPE, lender, mortgage/deed of trust, maturity, DSCR/LTV, modifications/extensions, CMBS trust/servicers, foreclosure/REO, new buyer, refinance and final value.</w:t>
            </w:r>
          </w:p>
        </w:tc>
      </w:tr>
      <w:tr>
        <w:tc>
          <w:tcPr>
            <w:tcW w:type="dxa" w:w="10166"/>
            <w:shd w:fill="F6F8F9"/>
            <w:tcMar>
              <w:top w:w="140" w:type="dxa"/>
              <w:start w:w="150" w:type="dxa"/>
              <w:bottom w:w="140" w:type="dxa"/>
              <w:end w:w="150" w:type="dxa"/>
            </w:tcMar>
            <w:tcBorders>
              <w:left w:val="single" w:sz="18" w:color="C99B3A"/>
            </w:tcBorders>
          </w:tcPr>
          <w:p>
            <w:r>
              <w:rPr>
                <w:rFonts w:ascii="Aptos Display" w:hAnsi="Aptos Display"/>
                <w:b/>
                <w:color w:val="0C2230"/>
                <w:sz w:val="26"/>
              </w:rPr>
              <w:t>FARMLAND</w:t>
            </w:r>
          </w:p>
          <w:p>
            <w:pPr>
              <w:spacing w:after="60"/>
            </w:pPr>
            <w:r>
              <w:rPr>
                <w:rFonts w:ascii="Aptos" w:hAnsi="Aptos"/>
                <w:b/>
                <w:color w:val="C99B3A"/>
                <w:sz w:val="16"/>
              </w:rPr>
              <w:t>FOOD + LONG-HORIZON STEWARDSHIP</w:t>
            </w:r>
          </w:p>
          <w:p>
            <w:pPr>
              <w:spacing w:after="0"/>
            </w:pPr>
            <w:r>
              <w:rPr>
                <w:rFonts w:ascii="Aptos" w:hAnsi="Aptos"/>
                <w:b w:val="0"/>
                <w:color w:val="111111"/>
                <w:sz w:val="18"/>
              </w:rPr>
              <w:t>Title, acreage, operator, lease, debt, soil/productivity, water rights, mineral rights, easements/pipelines, conservation restrictions, environmental obligations, land-use law, succession and productive cash flow.</w:t>
            </w:r>
          </w:p>
        </w:tc>
      </w:tr>
    </w:tbl>
    <w:p>
      <w:pPr>
        <w:spacing w:before="80" w:after="100"/>
      </w:pPr>
      <w:r>
        <w:rPr>
          <w:rFonts w:ascii="Aptos" w:hAnsi="Aptos"/>
          <w:b w:val="0"/>
          <w:i/>
          <w:color w:val="5F6B72"/>
          <w:sz w:val="16"/>
        </w:rPr>
        <w:t>The Q3 2026 seed dataset is heavily weighted toward federal/public real estate because that is where the first SHADOW tranches were built. Farmland is a stated priority sector for expansion; the current seed file should not be read as a representative national farmland sample.</w:t>
      </w:r>
    </w:p>
    <w:p>
      <w:pPr>
        <w:spacing w:before="160" w:after="40"/>
      </w:pPr>
      <w:r>
        <w:rPr>
          <w:rFonts w:ascii="Aptos" w:hAnsi="Aptos"/>
          <w:b/>
          <w:color w:val="C99B3A"/>
          <w:sz w:val="17"/>
        </w:rPr>
        <w:t>07</w:t>
      </w:r>
    </w:p>
    <w:p>
      <w:pPr>
        <w:spacing w:after="80"/>
      </w:pPr>
      <w:r>
        <w:rPr>
          <w:rFonts w:ascii="Aptos Display" w:hAnsi="Aptos Display"/>
          <w:b/>
          <w:color w:val="0C2230"/>
          <w:sz w:val="48"/>
        </w:rPr>
        <w:t>Initial Findings from the Seed Dataset</w:t>
      </w:r>
    </w:p>
    <w:p>
      <w:pPr>
        <w:spacing w:after="200"/>
      </w:pPr>
      <w:r>
        <w:rPr>
          <w:rFonts w:ascii="Aptos" w:hAnsi="Aptos"/>
          <w:b w:val="0"/>
          <w:color w:val="5F6B72"/>
          <w:sz w:val="21"/>
        </w:rPr>
        <w:t>What the first 36 records show - and what they do not yet prove</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16</w:t>
            </w:r>
          </w:p>
          <w:p>
            <w:pPr>
              <w:spacing w:after="0"/>
              <w:jc w:val="center"/>
            </w:pPr>
            <w:r>
              <w:rPr>
                <w:rFonts w:ascii="Aptos" w:hAnsi="Aptos"/>
                <w:b/>
                <w:color w:val="5F6B72"/>
                <w:sz w:val="15"/>
              </w:rPr>
              <w:t>TRANCHE 1</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9</w:t>
            </w:r>
          </w:p>
          <w:p>
            <w:pPr>
              <w:spacing w:after="0"/>
              <w:jc w:val="center"/>
            </w:pPr>
            <w:r>
              <w:rPr>
                <w:rFonts w:ascii="Aptos" w:hAnsi="Aptos"/>
                <w:b/>
                <w:color w:val="5F6B72"/>
                <w:sz w:val="15"/>
              </w:rPr>
              <w:t>TRANCHE 2</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11</w:t>
            </w:r>
          </w:p>
          <w:p>
            <w:pPr>
              <w:spacing w:after="0"/>
              <w:jc w:val="center"/>
            </w:pPr>
            <w:r>
              <w:rPr>
                <w:rFonts w:ascii="Aptos" w:hAnsi="Aptos"/>
                <w:b/>
                <w:color w:val="5F6B72"/>
                <w:sz w:val="15"/>
              </w:rPr>
              <w:t>TRANCHE 3</w:t>
            </w:r>
          </w:p>
        </w:tc>
        <w:tc>
          <w:tcPr>
            <w:tcW w:type="dxa" w:w="2541"/>
            <w:shd w:fill="F2F6F8"/>
            <w:tcMar>
              <w:top w:w="120" w:type="dxa"/>
              <w:start w:w="80" w:type="dxa"/>
              <w:bottom w:w="120" w:type="dxa"/>
              <w:end w:w="80" w:type="dxa"/>
            </w:tcMar>
            <w:tcBorders>
              <w:top w:val="single" w:sz="6" w:color="D7E0E4"/>
              <w:left w:val="single" w:sz="6" w:color="D7E0E4"/>
              <w:bottom w:val="single" w:sz="6" w:color="D7E0E4"/>
              <w:right w:val="single" w:sz="6" w:color="D7E0E4"/>
            </w:tcBorders>
          </w:tcPr>
          <w:p>
            <w:pPr>
              <w:spacing w:after="20"/>
              <w:jc w:val="center"/>
            </w:pPr>
            <w:r>
              <w:rPr>
                <w:rFonts w:ascii="Aptos Display" w:hAnsi="Aptos Display"/>
                <w:b/>
                <w:color w:val="0C2230"/>
                <w:sz w:val="36"/>
              </w:rPr>
              <w:t>17</w:t>
            </w:r>
          </w:p>
          <w:p>
            <w:pPr>
              <w:spacing w:after="0"/>
              <w:jc w:val="center"/>
            </w:pPr>
            <w:r>
              <w:rPr>
                <w:rFonts w:ascii="Aptos" w:hAnsi="Aptos"/>
                <w:b/>
                <w:color w:val="5F6B72"/>
                <w:sz w:val="15"/>
              </w:rPr>
              <w:t>BUYER UNDISCLOSED / NOT YET SELECTED</w:t>
            </w:r>
          </w:p>
        </w:tc>
      </w:tr>
    </w:tbl>
    <w:p>
      <w:pPr>
        <w:spacing w:after="0"/>
      </w:pPr>
    </w:p>
    <w:p>
      <w:pPr>
        <w:jc w:val="center"/>
      </w:pPr>
      <w:r>
        <w:drawing>
          <wp:inline xmlns:a="http://schemas.openxmlformats.org/drawingml/2006/main" xmlns:pic="http://schemas.openxmlformats.org/drawingml/2006/picture">
            <wp:extent cx="5303520" cy="3050770"/>
            <wp:docPr id="3" name="Picture 3"/>
            <wp:cNvGraphicFramePr>
              <a:graphicFrameLocks noChangeAspect="1"/>
            </wp:cNvGraphicFramePr>
            <a:graphic>
              <a:graphicData uri="http://schemas.openxmlformats.org/drawingml/2006/picture">
                <pic:pic>
                  <pic:nvPicPr>
                    <pic:cNvPr id="0" name="tranche_counts.png"/>
                    <pic:cNvPicPr/>
                  </pic:nvPicPr>
                  <pic:blipFill>
                    <a:blip r:embed="rId15"/>
                    <a:stretch>
                      <a:fillRect/>
                    </a:stretch>
                  </pic:blipFill>
                  <pic:spPr>
                    <a:xfrm>
                      <a:off x="0" y="0"/>
                      <a:ext cx="5303520" cy="3050770"/>
                    </a:xfrm>
                    <a:prstGeom prst="rect"/>
                  </pic:spPr>
                </pic:pic>
              </a:graphicData>
            </a:graphic>
          </wp:inline>
        </w:drawing>
      </w:r>
    </w:p>
    <w:p>
      <w:pPr>
        <w:jc w:val="center"/>
      </w:pPr>
      <w:r>
        <w:drawing>
          <wp:inline xmlns:a="http://schemas.openxmlformats.org/drawingml/2006/main" xmlns:pic="http://schemas.openxmlformats.org/drawingml/2006/picture">
            <wp:extent cx="5577840" cy="3437643"/>
            <wp:docPr id="4" name="Picture 4"/>
            <wp:cNvGraphicFramePr>
              <a:graphicFrameLocks noChangeAspect="1"/>
            </wp:cNvGraphicFramePr>
            <a:graphic>
              <a:graphicData uri="http://schemas.openxmlformats.org/drawingml/2006/picture">
                <pic:pic>
                  <pic:nvPicPr>
                    <pic:cNvPr id="0" name="buyer_types.png"/>
                    <pic:cNvPicPr/>
                  </pic:nvPicPr>
                  <pic:blipFill>
                    <a:blip r:embed="rId16"/>
                    <a:stretch>
                      <a:fillRect/>
                    </a:stretch>
                  </pic:blipFill>
                  <pic:spPr>
                    <a:xfrm>
                      <a:off x="0" y="0"/>
                      <a:ext cx="5577840" cy="3437643"/>
                    </a:xfrm>
                    <a:prstGeom prst="rect"/>
                  </pic:spPr>
                </pic:pic>
              </a:graphicData>
            </a:graphic>
          </wp:inline>
        </w:drawing>
      </w:r>
    </w:p>
    <w:p>
      <w:pPr>
        <w:spacing w:before="80" w:after="100"/>
      </w:pPr>
      <w:r>
        <w:rPr>
          <w:rFonts w:ascii="Aptos" w:hAnsi="Aptos"/>
          <w:b w:val="0"/>
          <w:i/>
          <w:color w:val="5F6B72"/>
          <w:sz w:val="16"/>
        </w:rPr>
        <w:t>The buyer/capital chart includes unresolved and not-yet-selected categories. This is not a market-share estimate. The seed sample is intentionally weighted toward large, researchable or strategically relevant cases.</w:t>
      </w:r>
    </w:p>
    <w:p>
      <w:pPr>
        <w:pStyle w:val="ListBullet"/>
        <w:spacing w:after="60"/>
      </w:pPr>
      <w:r>
        <w:rPr>
          <w:rFonts w:ascii="Aptos" w:hAnsi="Aptos"/>
          <w:b w:val="0"/>
          <w:color w:val="111111"/>
          <w:sz w:val="18"/>
        </w:rPr>
        <w:t>The working dataset contains 36 asset records: 16 substantially resolved/known-capital cases, 9 unresolved-buyer/rights cases, and 11 active/pre-transfer cases.</w:t>
      </w:r>
    </w:p>
    <w:p>
      <w:pPr>
        <w:pStyle w:val="ListBullet"/>
        <w:spacing w:after="60"/>
      </w:pPr>
      <w:r>
        <w:rPr>
          <w:rFonts w:ascii="Aptos" w:hAnsi="Aptos"/>
          <w:b w:val="0"/>
          <w:color w:val="111111"/>
          <w:sz w:val="18"/>
        </w:rPr>
        <w:t>Known closed consideration in the seed workbook totals approximately $570.8M. Some public-benefit transfers have no cash consideration in the dataset, and some reported prices are floors rather than exact final values.</w:t>
      </w:r>
    </w:p>
    <w:p>
      <w:pPr>
        <w:pStyle w:val="ListBullet"/>
        <w:spacing w:after="60"/>
      </w:pPr>
      <w:r>
        <w:rPr>
          <w:rFonts w:ascii="Aptos" w:hAnsi="Aptos"/>
          <w:b w:val="0"/>
          <w:color w:val="111111"/>
          <w:sz w:val="18"/>
        </w:rPr>
        <w:t>The first Tranche shows both private and public/nonprofit recipients; this is why SHADOW should publish denominators and evidence rather than imply that every public disposition is private capture.</w:t>
      </w:r>
    </w:p>
    <w:p>
      <w:pPr>
        <w:pStyle w:val="ListBullet"/>
        <w:spacing w:after="60"/>
      </w:pPr>
      <w:r>
        <w:rPr>
          <w:rFonts w:ascii="Aptos" w:hAnsi="Aptos"/>
          <w:b w:val="0"/>
          <w:color w:val="111111"/>
          <w:sz w:val="18"/>
        </w:rPr>
        <w:t>Tranche 2 demonstrates the public-data gap: sale and price can be known while beneficial ownership, lender, or rights state remain unresolved.</w:t>
      </w:r>
    </w:p>
    <w:p>
      <w:pPr>
        <w:pStyle w:val="ListBullet"/>
        <w:spacing w:after="60"/>
      </w:pPr>
      <w:r>
        <w:rPr>
          <w:rFonts w:ascii="Aptos" w:hAnsi="Aptos"/>
          <w:b w:val="0"/>
          <w:color w:val="111111"/>
          <w:sz w:val="18"/>
        </w:rPr>
        <w:t>Tranche 3 moves the work upstream: watch significant assets before closing so communities and researchers can evaluate title state, capital needs and public-benefit alternatives while the transaction is still forming.</w:t>
      </w:r>
    </w:p>
    <w:p>
      <w:pPr>
        <w:jc w:val="center"/>
      </w:pPr>
      <w:r>
        <w:drawing>
          <wp:inline xmlns:a="http://schemas.openxmlformats.org/drawingml/2006/main" xmlns:pic="http://schemas.openxmlformats.org/drawingml/2006/picture">
            <wp:extent cx="5669280" cy="4217051"/>
            <wp:docPr id="5" name="Picture 5"/>
            <wp:cNvGraphicFramePr>
              <a:graphicFrameLocks noChangeAspect="1"/>
            </wp:cNvGraphicFramePr>
            <a:graphic>
              <a:graphicData uri="http://schemas.openxmlformats.org/drawingml/2006/picture">
                <pic:pic>
                  <pic:nvPicPr>
                    <pic:cNvPr id="0" name="active_pipeline_sf.png"/>
                    <pic:cNvPicPr/>
                  </pic:nvPicPr>
                  <pic:blipFill>
                    <a:blip r:embed="rId17"/>
                    <a:stretch>
                      <a:fillRect/>
                    </a:stretch>
                  </pic:blipFill>
                  <pic:spPr>
                    <a:xfrm>
                      <a:off x="0" y="0"/>
                      <a:ext cx="5669280" cy="4217051"/>
                    </a:xfrm>
                    <a:prstGeom prst="rect"/>
                  </pic:spPr>
                </pic:pic>
              </a:graphicData>
            </a:graphic>
          </wp:inline>
        </w:drawing>
      </w:r>
    </w:p>
    <w:p>
      <w:pPr>
        <w:spacing w:before="160" w:after="40"/>
      </w:pPr>
      <w:r>
        <w:rPr>
          <w:rFonts w:ascii="Aptos" w:hAnsi="Aptos"/>
          <w:b/>
          <w:color w:val="C99B3A"/>
          <w:sz w:val="17"/>
        </w:rPr>
        <w:t>08</w:t>
      </w:r>
    </w:p>
    <w:p>
      <w:pPr>
        <w:spacing w:after="80"/>
      </w:pPr>
      <w:r>
        <w:rPr>
          <w:rFonts w:ascii="Aptos Display" w:hAnsi="Aptos Display"/>
          <w:b/>
          <w:color w:val="0C2230"/>
          <w:sz w:val="48"/>
        </w:rPr>
        <w:t>Featured Asset Profiles</w:t>
      </w:r>
    </w:p>
    <w:p>
      <w:pPr>
        <w:spacing w:after="200"/>
      </w:pPr>
      <w:r>
        <w:rPr>
          <w:rFonts w:ascii="Aptos" w:hAnsi="Aptos"/>
          <w:b w:val="0"/>
          <w:color w:val="5F6B72"/>
          <w:sz w:val="21"/>
        </w:rPr>
        <w:t>Priority cases for the first edition</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PPT-EZ-CA-0001 - Spring Street Courthouse</w:t>
            </w:r>
          </w:p>
          <w:p>
            <w:pPr>
              <w:spacing w:after="100"/>
            </w:pPr>
            <w:r>
              <w:rPr>
                <w:rFonts w:ascii="Aptos" w:hAnsi="Aptos"/>
                <w:b/>
                <w:color w:val="C99B3A"/>
                <w:sz w:val="17"/>
              </w:rPr>
              <w:t>312 N Spring Street, Los Angeles, California  |  P2 MARKETED / S0 LISTED</w:t>
            </w:r>
          </w:p>
          <w:p>
            <w:pPr>
              <w:spacing w:after="20"/>
            </w:pPr>
            <w:r>
              <w:rPr>
                <w:rFonts w:ascii="Aptos" w:hAnsi="Aptos"/>
                <w:b/>
                <w:color w:val="5F6B72"/>
                <w:sz w:val="15"/>
              </w:rPr>
              <w:t xml:space="preserve">FEDERAL LISTING: </w:t>
            </w:r>
            <w:r>
              <w:rPr>
                <w:rFonts w:ascii="Aptos" w:hAnsi="Aptos"/>
                <w:b w:val="0"/>
                <w:color w:val="111111"/>
                <w:sz w:val="17"/>
              </w:rPr>
              <w:t>Courthouse</w:t>
            </w:r>
          </w:p>
          <w:p>
            <w:pPr>
              <w:spacing w:after="20"/>
            </w:pPr>
            <w:r>
              <w:rPr>
                <w:rFonts w:ascii="Aptos" w:hAnsi="Aptos"/>
                <w:b/>
                <w:color w:val="5F6B72"/>
                <w:sz w:val="15"/>
              </w:rPr>
              <w:t xml:space="preserve">RENTABLE AREA: </w:t>
            </w:r>
            <w:r>
              <w:rPr>
                <w:rFonts w:ascii="Aptos" w:hAnsi="Aptos"/>
                <w:b w:val="0"/>
                <w:color w:val="111111"/>
                <w:sz w:val="17"/>
              </w:rPr>
              <w:t>751,791 sf on GSA accelerated-disposition list</w:t>
            </w:r>
          </w:p>
          <w:p>
            <w:pPr>
              <w:spacing w:after="20"/>
            </w:pPr>
            <w:r>
              <w:rPr>
                <w:rFonts w:ascii="Aptos" w:hAnsi="Aptos"/>
                <w:b/>
                <w:color w:val="5F6B72"/>
                <w:sz w:val="15"/>
              </w:rPr>
              <w:t xml:space="preserve">GSA TESTIMONY: </w:t>
            </w:r>
            <w:r>
              <w:rPr>
                <w:rFonts w:ascii="Aptos" w:hAnsi="Aptos"/>
                <w:b w:val="0"/>
                <w:color w:val="111111"/>
                <w:sz w:val="17"/>
              </w:rPr>
              <w:t>35% vacancy; almost $153M of capital-maintenance liabilities avoided if disposed</w:t>
            </w:r>
          </w:p>
          <w:p>
            <w:pPr>
              <w:spacing w:after="20"/>
            </w:pPr>
            <w:r>
              <w:rPr>
                <w:rFonts w:ascii="Aptos" w:hAnsi="Aptos"/>
                <w:b/>
                <w:color w:val="5F6B72"/>
                <w:sz w:val="15"/>
              </w:rPr>
              <w:t xml:space="preserve">BUYER: </w:t>
            </w:r>
            <w:r>
              <w:rPr>
                <w:rFonts w:ascii="Aptos" w:hAnsi="Aptos"/>
                <w:b w:val="0"/>
                <w:color w:val="111111"/>
                <w:sz w:val="17"/>
              </w:rPr>
              <w:t>None announced</w:t>
            </w:r>
          </w:p>
          <w:p>
            <w:pPr>
              <w:spacing w:before="100" w:after="40"/>
            </w:pPr>
            <w:r>
              <w:rPr>
                <w:rFonts w:ascii="Aptos" w:hAnsi="Aptos"/>
                <w:b/>
                <w:color w:val="C99B3A"/>
                <w:sz w:val="16"/>
              </w:rPr>
              <w:t>WHY IT MATTERS</w:t>
            </w:r>
          </w:p>
          <w:p>
            <w:pPr>
              <w:spacing w:after="80"/>
            </w:pPr>
            <w:r>
              <w:rPr>
                <w:rFonts w:ascii="Aptos" w:hAnsi="Aptos"/>
                <w:b w:val="0"/>
                <w:color w:val="111111"/>
                <w:sz w:val="18"/>
              </w:rPr>
              <w:t>This is the first reference asset for the proposed People’s Public Trust workflow because it can be evaluated before ownership leaves the public sector.</w:t>
            </w:r>
          </w:p>
          <w:p>
            <w:pPr>
              <w:spacing w:after="40"/>
            </w:pPr>
            <w:r>
              <w:rPr>
                <w:rFonts w:ascii="Aptos" w:hAnsi="Aptos"/>
                <w:b/>
                <w:color w:val="C99B3A"/>
                <w:sz w:val="16"/>
              </w:rPr>
              <w:t>OPEN RESEARCH</w:t>
            </w:r>
          </w:p>
          <w:p>
            <w:pPr>
              <w:spacing w:after="40"/>
            </w:pPr>
            <w:r>
              <w:rPr>
                <w:rFonts w:ascii="Aptos" w:hAnsi="Aptos"/>
                <w:b w:val="0"/>
                <w:color w:val="111111"/>
                <w:sz w:val="18"/>
              </w:rPr>
              <w:t>Complete TitleChain Asset State: parcel/title, occupancy and court-use obligations, historic restrictions, liens, environmental state, disposition authority, capital need and public-benefit eligibility.</w:t>
            </w:r>
          </w:p>
          <w:p>
            <w:pPr>
              <w:spacing w:after="0"/>
            </w:pPr>
            <w:r>
              <w:rPr>
                <w:rFonts w:ascii="Aptos" w:hAnsi="Aptos"/>
                <w:b/>
                <w:color w:val="5F6B72"/>
                <w:sz w:val="15"/>
              </w:rPr>
              <w:t xml:space="preserve">Source: </w:t>
            </w:r>
            <w:hyperlink r:id="rId18">
              <w:r>
                <w:rPr>
                  <w:color w:val="315B6B"/>
                </w:rPr>
                <w:t>GSA accelerated disposition / testimony</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Fort Worth Federal Center</w:t>
            </w:r>
          </w:p>
          <w:p>
            <w:pPr>
              <w:spacing w:after="100"/>
            </w:pPr>
            <w:r>
              <w:rPr>
                <w:rFonts w:ascii="Aptos" w:hAnsi="Aptos"/>
                <w:b/>
                <w:color w:val="C99B3A"/>
                <w:sz w:val="17"/>
              </w:rPr>
              <w:t>501 W Felix Street, Fort Worth, Texas  |  P2 MARKETED / S0 LISTED</w:t>
            </w:r>
          </w:p>
          <w:p>
            <w:pPr>
              <w:spacing w:after="20"/>
            </w:pPr>
            <w:r>
              <w:rPr>
                <w:rFonts w:ascii="Aptos" w:hAnsi="Aptos"/>
                <w:b/>
                <w:color w:val="5F6B72"/>
                <w:sz w:val="15"/>
              </w:rPr>
              <w:t xml:space="preserve">TYPE: </w:t>
            </w:r>
            <w:r>
              <w:rPr>
                <w:rFonts w:ascii="Aptos" w:hAnsi="Aptos"/>
                <w:b w:val="0"/>
                <w:color w:val="111111"/>
                <w:sz w:val="17"/>
              </w:rPr>
              <w:t>Office / warehouse / service / other</w:t>
            </w:r>
          </w:p>
          <w:p>
            <w:pPr>
              <w:spacing w:after="20"/>
            </w:pPr>
            <w:r>
              <w:rPr>
                <w:rFonts w:ascii="Aptos" w:hAnsi="Aptos"/>
                <w:b/>
                <w:color w:val="5F6B72"/>
                <w:sz w:val="15"/>
              </w:rPr>
              <w:t xml:space="preserve">RENTABLE AREA: </w:t>
            </w:r>
            <w:r>
              <w:rPr>
                <w:rFonts w:ascii="Aptos" w:hAnsi="Aptos"/>
                <w:b w:val="0"/>
                <w:color w:val="111111"/>
                <w:sz w:val="17"/>
              </w:rPr>
              <w:t>893,565 sf</w:t>
            </w:r>
          </w:p>
          <w:p>
            <w:pPr>
              <w:spacing w:after="20"/>
            </w:pPr>
            <w:r>
              <w:rPr>
                <w:rFonts w:ascii="Aptos" w:hAnsi="Aptos"/>
                <w:b/>
                <w:color w:val="5F6B72"/>
                <w:sz w:val="15"/>
              </w:rPr>
              <w:t xml:space="preserve">BUYER: </w:t>
            </w:r>
            <w:r>
              <w:rPr>
                <w:rFonts w:ascii="Aptos" w:hAnsi="Aptos"/>
                <w:b w:val="0"/>
                <w:color w:val="111111"/>
                <w:sz w:val="17"/>
              </w:rPr>
              <w:t>None announced</w:t>
            </w:r>
          </w:p>
          <w:p>
            <w:pPr>
              <w:spacing w:before="100" w:after="40"/>
            </w:pPr>
            <w:r>
              <w:rPr>
                <w:rFonts w:ascii="Aptos" w:hAnsi="Aptos"/>
                <w:b/>
                <w:color w:val="C99B3A"/>
                <w:sz w:val="16"/>
              </w:rPr>
              <w:t>WHY IT MATTERS</w:t>
            </w:r>
          </w:p>
          <w:p>
            <w:pPr>
              <w:spacing w:after="80"/>
            </w:pPr>
            <w:r>
              <w:rPr>
                <w:rFonts w:ascii="Aptos" w:hAnsi="Aptos"/>
                <w:b w:val="0"/>
                <w:color w:val="111111"/>
                <w:sz w:val="18"/>
              </w:rPr>
              <w:t>Large multi-use federal campus and a potential second-city People’s Trust feasibility screen.</w:t>
            </w:r>
          </w:p>
          <w:p>
            <w:pPr>
              <w:spacing w:after="40"/>
            </w:pPr>
            <w:r>
              <w:rPr>
                <w:rFonts w:ascii="Aptos" w:hAnsi="Aptos"/>
                <w:b/>
                <w:color w:val="C99B3A"/>
                <w:sz w:val="16"/>
              </w:rPr>
              <w:t>OPEN RESEARCH</w:t>
            </w:r>
          </w:p>
          <w:p>
            <w:pPr>
              <w:spacing w:after="40"/>
            </w:pPr>
            <w:r>
              <w:rPr>
                <w:rFonts w:ascii="Aptos" w:hAnsi="Aptos"/>
                <w:b w:val="0"/>
                <w:color w:val="111111"/>
                <w:sz w:val="18"/>
              </w:rPr>
              <w:t>TitleChain Asset State, environmental history, parcel configuration, occupancy/relocation, disposition path, redevelopment constraints and public-benefit feasibility.</w:t>
            </w:r>
          </w:p>
          <w:p>
            <w:pPr>
              <w:spacing w:after="0"/>
            </w:pPr>
            <w:r>
              <w:rPr>
                <w:rFonts w:ascii="Aptos" w:hAnsi="Aptos"/>
                <w:b/>
                <w:color w:val="5F6B72"/>
                <w:sz w:val="15"/>
              </w:rPr>
              <w:t xml:space="preserve">Source: </w:t>
            </w:r>
            <w:hyperlink r:id="rId18">
              <w:r>
                <w:rPr>
                  <w:color w:val="315B6B"/>
                </w:rPr>
                <w:t>GSA accelerated disposition</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Fritz G. Lanham Federal Building + Parking Garage</w:t>
            </w:r>
          </w:p>
          <w:p>
            <w:pPr>
              <w:spacing w:after="100"/>
            </w:pPr>
            <w:r>
              <w:rPr>
                <w:rFonts w:ascii="Aptos" w:hAnsi="Aptos"/>
                <w:b/>
                <w:color w:val="C99B3A"/>
                <w:sz w:val="17"/>
              </w:rPr>
              <w:t>819 Taylor Street / 401 Texas Street, Fort Worth, Texas  |  P1 REVIEW / S0 LISTED</w:t>
            </w:r>
          </w:p>
          <w:p>
            <w:pPr>
              <w:spacing w:after="20"/>
            </w:pPr>
            <w:r>
              <w:rPr>
                <w:rFonts w:ascii="Aptos" w:hAnsi="Aptos"/>
                <w:b/>
                <w:color w:val="5F6B72"/>
                <w:sz w:val="15"/>
              </w:rPr>
              <w:t xml:space="preserve">LANHAM RENTABLE AREA: </w:t>
            </w:r>
            <w:r>
              <w:rPr>
                <w:rFonts w:ascii="Aptos" w:hAnsi="Aptos"/>
                <w:b w:val="0"/>
                <w:color w:val="111111"/>
                <w:sz w:val="17"/>
              </w:rPr>
              <w:t>669,264 sf</w:t>
            </w:r>
          </w:p>
          <w:p>
            <w:pPr>
              <w:spacing w:after="20"/>
            </w:pPr>
            <w:r>
              <w:rPr>
                <w:rFonts w:ascii="Aptos" w:hAnsi="Aptos"/>
                <w:b/>
                <w:color w:val="5F6B72"/>
                <w:sz w:val="15"/>
              </w:rPr>
              <w:t xml:space="preserve">GARAGE: </w:t>
            </w:r>
            <w:r>
              <w:rPr>
                <w:rFonts w:ascii="Aptos" w:hAnsi="Aptos"/>
                <w:b w:val="0"/>
                <w:color w:val="111111"/>
                <w:sz w:val="17"/>
              </w:rPr>
              <w:t>8,340 rentable sf; 490,101 gross sf reported by GSA</w:t>
            </w:r>
          </w:p>
          <w:p>
            <w:pPr>
              <w:spacing w:after="20"/>
            </w:pPr>
            <w:r>
              <w:rPr>
                <w:rFonts w:ascii="Aptos" w:hAnsi="Aptos"/>
                <w:b/>
                <w:color w:val="5F6B72"/>
                <w:sz w:val="15"/>
              </w:rPr>
              <w:t xml:space="preserve">GSA ANNOUNCEMENT: </w:t>
            </w:r>
            <w:r>
              <w:rPr>
                <w:rFonts w:ascii="Aptos" w:hAnsi="Aptos"/>
                <w:b w:val="0"/>
                <w:color w:val="111111"/>
                <w:sz w:val="17"/>
              </w:rPr>
              <w:t>Added September 10, 2026; GSA says downtown Fort Worth dispositions will save more than $348M</w:t>
            </w:r>
          </w:p>
          <w:p>
            <w:pPr>
              <w:spacing w:before="100" w:after="40"/>
            </w:pPr>
            <w:r>
              <w:rPr>
                <w:rFonts w:ascii="Aptos" w:hAnsi="Aptos"/>
                <w:b/>
                <w:color w:val="C99B3A"/>
                <w:sz w:val="16"/>
              </w:rPr>
              <w:t>WHY IT MATTERS</w:t>
            </w:r>
          </w:p>
          <w:p>
            <w:pPr>
              <w:spacing w:after="80"/>
            </w:pPr>
            <w:r>
              <w:rPr>
                <w:rFonts w:ascii="Aptos" w:hAnsi="Aptos"/>
                <w:b w:val="0"/>
                <w:color w:val="111111"/>
                <w:sz w:val="18"/>
              </w:rPr>
              <w:t>Together with the Fort Worth Federal Center, this creates a large cluster of federal real-estate transition activity in one city.</w:t>
            </w:r>
          </w:p>
          <w:p>
            <w:pPr>
              <w:spacing w:after="40"/>
            </w:pPr>
            <w:r>
              <w:rPr>
                <w:rFonts w:ascii="Aptos" w:hAnsi="Aptos"/>
                <w:b/>
                <w:color w:val="C99B3A"/>
                <w:sz w:val="16"/>
              </w:rPr>
              <w:t>OPEN RESEARCH</w:t>
            </w:r>
          </w:p>
          <w:p>
            <w:pPr>
              <w:spacing w:after="40"/>
            </w:pPr>
            <w:r>
              <w:rPr>
                <w:rFonts w:ascii="Aptos" w:hAnsi="Aptos"/>
                <w:b w:val="0"/>
                <w:color w:val="111111"/>
                <w:sz w:val="18"/>
              </w:rPr>
              <w:t>Determine parcel/title relationships, whether garage and building move separately, air/development rights, occupancy, capital requirements and buyer emergence.</w:t>
            </w:r>
          </w:p>
          <w:p>
            <w:pPr>
              <w:spacing w:after="0"/>
            </w:pPr>
            <w:r>
              <w:rPr>
                <w:rFonts w:ascii="Aptos" w:hAnsi="Aptos"/>
                <w:b/>
                <w:color w:val="5F6B72"/>
                <w:sz w:val="15"/>
              </w:rPr>
              <w:t xml:space="preserve">Source: </w:t>
            </w:r>
            <w:hyperlink r:id="rId19">
              <w:r>
                <w:rPr>
                  <w:color w:val="315B6B"/>
                </w:rPr>
                <w:t>GSA Fort Worth announcement</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The Depot at Somerville</w:t>
            </w:r>
          </w:p>
          <w:p>
            <w:pPr>
              <w:spacing w:after="100"/>
            </w:pPr>
            <w:r>
              <w:rPr>
                <w:rFonts w:ascii="Aptos" w:hAnsi="Aptos"/>
                <w:b/>
                <w:color w:val="C99B3A"/>
                <w:sz w:val="17"/>
              </w:rPr>
              <w:t>Roycefield Road / Somerville-Hillsborough, New Jersey  |  P5 UNDER CONTRACT / O0 BUYER UNDISCLOSED</w:t>
            </w:r>
          </w:p>
          <w:p>
            <w:pPr>
              <w:spacing w:after="20"/>
            </w:pPr>
            <w:r>
              <w:rPr>
                <w:rFonts w:ascii="Aptos" w:hAnsi="Aptos"/>
                <w:b/>
                <w:color w:val="5F6B72"/>
                <w:sz w:val="15"/>
              </w:rPr>
              <w:t xml:space="preserve">REPORTED AREA: </w:t>
            </w:r>
            <w:r>
              <w:rPr>
                <w:rFonts w:ascii="Aptos" w:hAnsi="Aptos"/>
                <w:b w:val="0"/>
                <w:color w:val="111111"/>
                <w:sz w:val="17"/>
              </w:rPr>
              <w:t>815,469 sf</w:t>
            </w:r>
          </w:p>
          <w:p>
            <w:pPr>
              <w:spacing w:after="20"/>
            </w:pPr>
            <w:r>
              <w:rPr>
                <w:rFonts w:ascii="Aptos" w:hAnsi="Aptos"/>
                <w:b/>
                <w:color w:val="5F6B72"/>
                <w:sz w:val="15"/>
              </w:rPr>
              <w:t xml:space="preserve">LAND: </w:t>
            </w:r>
            <w:r>
              <w:rPr>
                <w:rFonts w:ascii="Aptos" w:hAnsi="Aptos"/>
                <w:b w:val="0"/>
                <w:color w:val="111111"/>
                <w:sz w:val="17"/>
              </w:rPr>
              <w:t>~83.5 acres</w:t>
            </w:r>
          </w:p>
          <w:p>
            <w:pPr>
              <w:spacing w:after="20"/>
            </w:pPr>
            <w:r>
              <w:rPr>
                <w:rFonts w:ascii="Aptos" w:hAnsi="Aptos"/>
                <w:b/>
                <w:color w:val="5F6B72"/>
                <w:sz w:val="15"/>
              </w:rPr>
              <w:t xml:space="preserve">USE: </w:t>
            </w:r>
            <w:r>
              <w:rPr>
                <w:rFonts w:ascii="Aptos" w:hAnsi="Aptos"/>
                <w:b w:val="0"/>
                <w:color w:val="111111"/>
                <w:sz w:val="17"/>
              </w:rPr>
              <w:t>Industrial / warehouse campus</w:t>
            </w:r>
          </w:p>
          <w:p>
            <w:pPr>
              <w:spacing w:after="20"/>
            </w:pPr>
            <w:r>
              <w:rPr>
                <w:rFonts w:ascii="Aptos" w:hAnsi="Aptos"/>
                <w:b/>
                <w:color w:val="5F6B72"/>
                <w:sz w:val="15"/>
              </w:rPr>
              <w:t xml:space="preserve">BUYER: </w:t>
            </w:r>
            <w:r>
              <w:rPr>
                <w:rFonts w:ascii="Aptos" w:hAnsi="Aptos"/>
                <w:b w:val="0"/>
                <w:color w:val="111111"/>
                <w:sz w:val="17"/>
              </w:rPr>
              <w:t>Prospective buyer not publicly resolved in seed record</w:t>
            </w:r>
          </w:p>
          <w:p>
            <w:pPr>
              <w:spacing w:before="100" w:after="40"/>
            </w:pPr>
            <w:r>
              <w:rPr>
                <w:rFonts w:ascii="Aptos" w:hAnsi="Aptos"/>
                <w:b/>
                <w:color w:val="C99B3A"/>
                <w:sz w:val="16"/>
              </w:rPr>
              <w:t>WHY IT MATTERS</w:t>
            </w:r>
          </w:p>
          <w:p>
            <w:pPr>
              <w:spacing w:after="80"/>
            </w:pPr>
            <w:r>
              <w:rPr>
                <w:rFonts w:ascii="Aptos" w:hAnsi="Aptos"/>
                <w:b w:val="0"/>
                <w:color w:val="111111"/>
                <w:sz w:val="18"/>
              </w:rPr>
              <w:t>This is the immediate live ownership-resolution case: the public transition has advanced to under contract while the buyer/capital chain is still unresolved in the working dataset.</w:t>
            </w:r>
          </w:p>
          <w:p>
            <w:pPr>
              <w:spacing w:after="40"/>
            </w:pPr>
            <w:r>
              <w:rPr>
                <w:rFonts w:ascii="Aptos" w:hAnsi="Aptos"/>
                <w:b/>
                <w:color w:val="C99B3A"/>
                <w:sz w:val="16"/>
              </w:rPr>
              <w:t>OPEN RESEARCH</w:t>
            </w:r>
          </w:p>
          <w:p>
            <w:pPr>
              <w:spacing w:after="40"/>
            </w:pPr>
            <w:r>
              <w:rPr>
                <w:rFonts w:ascii="Aptos" w:hAnsi="Aptos"/>
                <w:b w:val="0"/>
                <w:color w:val="111111"/>
                <w:sz w:val="18"/>
              </w:rPr>
              <w:t>Resolve buyer SPE, sponsor, ultimate capital, acquisition lender, final consideration, title, environmental obligations and redevelopment strategy.</w:t>
            </w:r>
          </w:p>
          <w:p>
            <w:pPr>
              <w:spacing w:after="0"/>
            </w:pPr>
            <w:r>
              <w:rPr>
                <w:rFonts w:ascii="Aptos" w:hAnsi="Aptos"/>
                <w:b/>
                <w:color w:val="5F6B72"/>
                <w:sz w:val="15"/>
              </w:rPr>
              <w:t xml:space="preserve">Source: </w:t>
            </w:r>
            <w:hyperlink r:id="rId18">
              <w:r>
                <w:rPr>
                  <w:color w:val="315B6B"/>
                </w:rPr>
                <w:t>GSA accelerated disposition</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Anthony J. Celebrezze Federal Building</w:t>
            </w:r>
          </w:p>
          <w:p>
            <w:pPr>
              <w:spacing w:after="100"/>
            </w:pPr>
            <w:r>
              <w:rPr>
                <w:rFonts w:ascii="Aptos" w:hAnsi="Aptos"/>
                <w:b/>
                <w:color w:val="C99B3A"/>
                <w:sz w:val="17"/>
              </w:rPr>
              <w:t>1240 E 9th Street, Cleveland, Ohio  |  P2 MARKETED / S0 LISTED</w:t>
            </w:r>
          </w:p>
          <w:p>
            <w:pPr>
              <w:spacing w:after="20"/>
            </w:pPr>
            <w:r>
              <w:rPr>
                <w:rFonts w:ascii="Aptos" w:hAnsi="Aptos"/>
                <w:b/>
                <w:color w:val="5F6B72"/>
                <w:sz w:val="15"/>
              </w:rPr>
              <w:t xml:space="preserve">RENTABLE AREA: </w:t>
            </w:r>
            <w:r>
              <w:rPr>
                <w:rFonts w:ascii="Aptos" w:hAnsi="Aptos"/>
                <w:b w:val="0"/>
                <w:color w:val="111111"/>
                <w:sz w:val="17"/>
              </w:rPr>
              <w:t>1,194,675 sf</w:t>
            </w:r>
          </w:p>
          <w:p>
            <w:pPr>
              <w:spacing w:after="20"/>
            </w:pPr>
            <w:r>
              <w:rPr>
                <w:rFonts w:ascii="Aptos" w:hAnsi="Aptos"/>
                <w:b/>
                <w:color w:val="5F6B72"/>
                <w:sz w:val="15"/>
              </w:rPr>
              <w:t xml:space="preserve">TYPE: </w:t>
            </w:r>
            <w:r>
              <w:rPr>
                <w:rFonts w:ascii="Aptos" w:hAnsi="Aptos"/>
                <w:b w:val="0"/>
                <w:color w:val="111111"/>
                <w:sz w:val="17"/>
              </w:rPr>
              <w:t>Office</w:t>
            </w:r>
          </w:p>
          <w:p>
            <w:pPr>
              <w:spacing w:after="20"/>
            </w:pPr>
            <w:r>
              <w:rPr>
                <w:rFonts w:ascii="Aptos" w:hAnsi="Aptos"/>
                <w:b/>
                <w:color w:val="5F6B72"/>
                <w:sz w:val="15"/>
              </w:rPr>
              <w:t xml:space="preserve">GSA ESTIMATE: </w:t>
            </w:r>
            <w:r>
              <w:rPr>
                <w:rFonts w:ascii="Aptos" w:hAnsi="Aptos"/>
                <w:b w:val="0"/>
                <w:color w:val="111111"/>
                <w:sz w:val="17"/>
              </w:rPr>
              <w:t>More than $180M in maintenance/redevelopment costs potentially avoided</w:t>
            </w:r>
          </w:p>
          <w:p>
            <w:pPr>
              <w:spacing w:before="100" w:after="40"/>
            </w:pPr>
            <w:r>
              <w:rPr>
                <w:rFonts w:ascii="Aptos" w:hAnsi="Aptos"/>
                <w:b/>
                <w:color w:val="C99B3A"/>
                <w:sz w:val="16"/>
              </w:rPr>
              <w:t>WHY IT MATTERS</w:t>
            </w:r>
          </w:p>
          <w:p>
            <w:pPr>
              <w:spacing w:after="80"/>
            </w:pPr>
            <w:r>
              <w:rPr>
                <w:rFonts w:ascii="Aptos" w:hAnsi="Aptos"/>
                <w:b w:val="0"/>
                <w:color w:val="111111"/>
                <w:sz w:val="18"/>
              </w:rPr>
              <w:t>A single building at roughly 1.2 million square feet can support a full adaptive-reuse, title-state and capital-stack analysis on its own.</w:t>
            </w:r>
          </w:p>
          <w:p>
            <w:pPr>
              <w:spacing w:after="40"/>
            </w:pPr>
            <w:r>
              <w:rPr>
                <w:rFonts w:ascii="Aptos" w:hAnsi="Aptos"/>
                <w:b/>
                <w:color w:val="C99B3A"/>
                <w:sz w:val="16"/>
              </w:rPr>
              <w:t>OPEN RESEARCH</w:t>
            </w:r>
          </w:p>
          <w:p>
            <w:pPr>
              <w:spacing w:after="40"/>
            </w:pPr>
            <w:r>
              <w:rPr>
                <w:rFonts w:ascii="Aptos" w:hAnsi="Aptos"/>
                <w:b w:val="0"/>
                <w:color w:val="111111"/>
                <w:sz w:val="18"/>
              </w:rPr>
              <w:t>Resolve current occupancy, title restrictions, redevelopment feasibility, environmental state, capital needs and buyer interest.</w:t>
            </w:r>
          </w:p>
          <w:p>
            <w:pPr>
              <w:spacing w:after="0"/>
            </w:pPr>
            <w:r>
              <w:rPr>
                <w:rFonts w:ascii="Aptos" w:hAnsi="Aptos"/>
                <w:b/>
                <w:color w:val="5F6B72"/>
                <w:sz w:val="15"/>
              </w:rPr>
              <w:t xml:space="preserve">Source: </w:t>
            </w:r>
            <w:hyperlink r:id="rId20">
              <w:r>
                <w:rPr>
                  <w:color w:val="315B6B"/>
                </w:rPr>
                <w:t>GSA Celebrezze announcement</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Goodfellow Federal Center</w:t>
            </w:r>
          </w:p>
          <w:p>
            <w:pPr>
              <w:spacing w:after="100"/>
            </w:pPr>
            <w:r>
              <w:rPr>
                <w:rFonts w:ascii="Aptos" w:hAnsi="Aptos"/>
                <w:b/>
                <w:color w:val="C99B3A"/>
                <w:sz w:val="17"/>
              </w:rPr>
              <w:t>4300 Goodfellow Boulevard, St. Louis, Missouri  |  P2 MARKETED / S0 LISTED</w:t>
            </w:r>
          </w:p>
          <w:p>
            <w:pPr>
              <w:spacing w:after="20"/>
            </w:pPr>
            <w:r>
              <w:rPr>
                <w:rFonts w:ascii="Aptos" w:hAnsi="Aptos"/>
                <w:b/>
                <w:color w:val="5F6B72"/>
                <w:sz w:val="15"/>
              </w:rPr>
              <w:t xml:space="preserve">RENTABLE AREA: </w:t>
            </w:r>
            <w:r>
              <w:rPr>
                <w:rFonts w:ascii="Aptos" w:hAnsi="Aptos"/>
                <w:b w:val="0"/>
                <w:color w:val="111111"/>
                <w:sz w:val="17"/>
              </w:rPr>
              <w:t>1,392,628 sf</w:t>
            </w:r>
          </w:p>
          <w:p>
            <w:pPr>
              <w:spacing w:after="20"/>
            </w:pPr>
            <w:r>
              <w:rPr>
                <w:rFonts w:ascii="Aptos" w:hAnsi="Aptos"/>
                <w:b/>
                <w:color w:val="5F6B72"/>
                <w:sz w:val="15"/>
              </w:rPr>
              <w:t xml:space="preserve">TYPE: </w:t>
            </w:r>
            <w:r>
              <w:rPr>
                <w:rFonts w:ascii="Aptos" w:hAnsi="Aptos"/>
                <w:b w:val="0"/>
                <w:color w:val="111111"/>
                <w:sz w:val="17"/>
              </w:rPr>
              <w:t>Laboratory / specialized federal campus</w:t>
            </w:r>
          </w:p>
          <w:p>
            <w:pPr>
              <w:spacing w:after="20"/>
            </w:pPr>
            <w:r>
              <w:rPr>
                <w:rFonts w:ascii="Aptos" w:hAnsi="Aptos"/>
                <w:b/>
                <w:color w:val="5F6B72"/>
                <w:sz w:val="15"/>
              </w:rPr>
              <w:t xml:space="preserve">ENVIRONMENTAL: </w:t>
            </w:r>
            <w:r>
              <w:rPr>
                <w:rFonts w:ascii="Aptos" w:hAnsi="Aptos"/>
                <w:b w:val="0"/>
                <w:color w:val="111111"/>
                <w:sz w:val="17"/>
              </w:rPr>
              <w:t>GSA maintains a dedicated environmental reading room documenting asbestos, PCB and other contamination concerns in parts of the campus</w:t>
            </w:r>
          </w:p>
          <w:p>
            <w:pPr>
              <w:spacing w:before="100" w:after="40"/>
            </w:pPr>
            <w:r>
              <w:rPr>
                <w:rFonts w:ascii="Aptos" w:hAnsi="Aptos"/>
                <w:b/>
                <w:color w:val="C99B3A"/>
                <w:sz w:val="16"/>
              </w:rPr>
              <w:t>WHY IT MATTERS</w:t>
            </w:r>
          </w:p>
          <w:p>
            <w:pPr>
              <w:spacing w:after="80"/>
            </w:pPr>
            <w:r>
              <w:rPr>
                <w:rFonts w:ascii="Aptos" w:hAnsi="Aptos"/>
                <w:b w:val="0"/>
                <w:color w:val="111111"/>
                <w:sz w:val="18"/>
              </w:rPr>
              <w:t>Goodfellow demonstrates why a property cannot be scored only on price and square footage. Environmental and decommissioning state may dominate transfer economics.</w:t>
            </w:r>
          </w:p>
          <w:p>
            <w:pPr>
              <w:spacing w:after="40"/>
            </w:pPr>
            <w:r>
              <w:rPr>
                <w:rFonts w:ascii="Aptos" w:hAnsi="Aptos"/>
                <w:b/>
                <w:color w:val="C99B3A"/>
                <w:sz w:val="16"/>
              </w:rPr>
              <w:t>OPEN RESEARCH</w:t>
            </w:r>
          </w:p>
          <w:p>
            <w:pPr>
              <w:spacing w:after="40"/>
            </w:pPr>
            <w:r>
              <w:rPr>
                <w:rFonts w:ascii="Aptos" w:hAnsi="Aptos"/>
                <w:b w:val="0"/>
                <w:color w:val="111111"/>
                <w:sz w:val="18"/>
              </w:rPr>
              <w:t>Map buildings/parcels, contamination/remediation, responsible parties, successor liability, utilities, title/rights and specialized reuse constraints before any opportunity score.</w:t>
            </w:r>
          </w:p>
          <w:p>
            <w:pPr>
              <w:spacing w:after="0"/>
            </w:pPr>
            <w:r>
              <w:rPr>
                <w:rFonts w:ascii="Aptos" w:hAnsi="Aptos"/>
                <w:b/>
                <w:color w:val="5F6B72"/>
                <w:sz w:val="15"/>
              </w:rPr>
              <w:t xml:space="preserve">Source: </w:t>
            </w:r>
            <w:hyperlink r:id="rId21">
              <w:r>
                <w:rPr>
                  <w:color w:val="315B6B"/>
                </w:rPr>
                <w:t>GSA environmental reading room</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Federal Center South - disposition portion</w:t>
            </w:r>
          </w:p>
          <w:p>
            <w:pPr>
              <w:spacing w:after="100"/>
            </w:pPr>
            <w:r>
              <w:rPr>
                <w:rFonts w:ascii="Aptos" w:hAnsi="Aptos"/>
                <w:b/>
                <w:color w:val="C99B3A"/>
                <w:sz w:val="17"/>
              </w:rPr>
              <w:t>4735 E Marginal Way S, Seattle, Washington  |  P2 MARKETED / S0 LISTED</w:t>
            </w:r>
          </w:p>
          <w:p>
            <w:pPr>
              <w:spacing w:after="20"/>
            </w:pPr>
            <w:r>
              <w:rPr>
                <w:rFonts w:ascii="Aptos" w:hAnsi="Aptos"/>
                <w:b/>
                <w:color w:val="5F6B72"/>
                <w:sz w:val="15"/>
              </w:rPr>
              <w:t xml:space="preserve">GSA SCOPE: </w:t>
            </w:r>
            <w:r>
              <w:rPr>
                <w:rFonts w:ascii="Aptos" w:hAnsi="Aptos"/>
                <w:b w:val="0"/>
                <w:color w:val="111111"/>
                <w:sz w:val="17"/>
              </w:rPr>
              <w:t>1201 Building, BIA Building and slab only - not the entire complex</w:t>
            </w:r>
          </w:p>
          <w:p>
            <w:pPr>
              <w:spacing w:after="20"/>
            </w:pPr>
            <w:r>
              <w:rPr>
                <w:rFonts w:ascii="Aptos" w:hAnsi="Aptos"/>
                <w:b/>
                <w:color w:val="5F6B72"/>
                <w:sz w:val="15"/>
              </w:rPr>
              <w:t xml:space="preserve">RENTABLE AREA: </w:t>
            </w:r>
            <w:r>
              <w:rPr>
                <w:rFonts w:ascii="Aptos" w:hAnsi="Aptos"/>
                <w:b w:val="0"/>
                <w:color w:val="111111"/>
                <w:sz w:val="17"/>
              </w:rPr>
              <w:t>422,195 sf</w:t>
            </w:r>
          </w:p>
          <w:p>
            <w:pPr>
              <w:spacing w:before="100" w:after="40"/>
            </w:pPr>
            <w:r>
              <w:rPr>
                <w:rFonts w:ascii="Aptos" w:hAnsi="Aptos"/>
                <w:b/>
                <w:color w:val="C99B3A"/>
                <w:sz w:val="16"/>
              </w:rPr>
              <w:t>WHY IT MATTERS</w:t>
            </w:r>
          </w:p>
          <w:p>
            <w:pPr>
              <w:spacing w:after="80"/>
            </w:pPr>
            <w:r>
              <w:rPr>
                <w:rFonts w:ascii="Aptos" w:hAnsi="Aptos"/>
                <w:b w:val="0"/>
                <w:color w:val="111111"/>
                <w:sz w:val="18"/>
              </w:rPr>
              <w:t>The partial-complex structure makes exact asset identity and parcel/building boundary resolution especially important.</w:t>
            </w:r>
          </w:p>
          <w:p>
            <w:pPr>
              <w:spacing w:after="40"/>
            </w:pPr>
            <w:r>
              <w:rPr>
                <w:rFonts w:ascii="Aptos" w:hAnsi="Aptos"/>
                <w:b/>
                <w:color w:val="C99B3A"/>
                <w:sz w:val="16"/>
              </w:rPr>
              <w:t>OPEN RESEARCH</w:t>
            </w:r>
          </w:p>
          <w:p>
            <w:pPr>
              <w:spacing w:after="40"/>
            </w:pPr>
            <w:r>
              <w:rPr>
                <w:rFonts w:ascii="Aptos" w:hAnsi="Aptos"/>
                <w:b w:val="0"/>
                <w:color w:val="111111"/>
                <w:sz w:val="18"/>
              </w:rPr>
              <w:t>Resolve exact parcels/buildings, waterfront/industrial environmental state, easements, infrastructure, title and disposition structure.</w:t>
            </w:r>
          </w:p>
          <w:p>
            <w:pPr>
              <w:spacing w:after="0"/>
            </w:pPr>
            <w:r>
              <w:rPr>
                <w:rFonts w:ascii="Aptos" w:hAnsi="Aptos"/>
                <w:b/>
                <w:color w:val="5F6B72"/>
                <w:sz w:val="15"/>
              </w:rPr>
              <w:t xml:space="preserve">Source: </w:t>
            </w:r>
            <w:hyperlink r:id="rId18">
              <w:r>
                <w:rPr>
                  <w:color w:val="315B6B"/>
                </w:rPr>
                <w:t>GSA accelerated disposition</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Montpelier Federal Building</w:t>
            </w:r>
          </w:p>
          <w:p>
            <w:pPr>
              <w:spacing w:after="100"/>
            </w:pPr>
            <w:r>
              <w:rPr>
                <w:rFonts w:ascii="Aptos" w:hAnsi="Aptos"/>
                <w:b/>
                <w:color w:val="C99B3A"/>
                <w:sz w:val="17"/>
              </w:rPr>
              <w:t>87 State Street, Montpelier, Vermont  |  Auction completed; community high bid later rejected / no transfer</w:t>
            </w:r>
          </w:p>
          <w:p>
            <w:pPr>
              <w:spacing w:after="20"/>
            </w:pPr>
            <w:r>
              <w:rPr>
                <w:rFonts w:ascii="Aptos" w:hAnsi="Aptos"/>
                <w:b/>
                <w:color w:val="5F6B72"/>
                <w:sz w:val="15"/>
              </w:rPr>
              <w:t xml:space="preserve">BUILDING: </w:t>
            </w:r>
            <w:r>
              <w:rPr>
                <w:rFonts w:ascii="Aptos" w:hAnsi="Aptos"/>
                <w:b w:val="0"/>
                <w:color w:val="111111"/>
                <w:sz w:val="17"/>
              </w:rPr>
              <w:t>~70,000 sf on ~1.6 acres per GSA auction release</w:t>
            </w:r>
          </w:p>
          <w:p>
            <w:pPr>
              <w:spacing w:after="20"/>
            </w:pPr>
            <w:r>
              <w:rPr>
                <w:rFonts w:ascii="Aptos" w:hAnsi="Aptos"/>
                <w:b/>
                <w:color w:val="5F6B72"/>
                <w:sz w:val="15"/>
              </w:rPr>
              <w:t xml:space="preserve">COMMUNITY BIDDER: </w:t>
            </w:r>
            <w:r>
              <w:rPr>
                <w:rFonts w:ascii="Aptos" w:hAnsi="Aptos"/>
                <w:b w:val="0"/>
                <w:color w:val="111111"/>
                <w:sz w:val="17"/>
              </w:rPr>
              <w:t>87 State Street Local Development Corporation in working research</w:t>
            </w:r>
          </w:p>
          <w:p>
            <w:pPr>
              <w:spacing w:after="20"/>
            </w:pPr>
            <w:r>
              <w:rPr>
                <w:rFonts w:ascii="Aptos" w:hAnsi="Aptos"/>
                <w:b/>
                <w:color w:val="5F6B72"/>
                <w:sz w:val="15"/>
              </w:rPr>
              <w:t xml:space="preserve">STATE: </w:t>
            </w:r>
            <w:r>
              <w:rPr>
                <w:rFonts w:ascii="Aptos" w:hAnsi="Aptos"/>
                <w:b w:val="0"/>
                <w:color w:val="111111"/>
                <w:sz w:val="17"/>
              </w:rPr>
              <w:t>No completed transfer in seed dataset</w:t>
            </w:r>
          </w:p>
          <w:p>
            <w:pPr>
              <w:spacing w:before="100" w:after="40"/>
            </w:pPr>
            <w:r>
              <w:rPr>
                <w:rFonts w:ascii="Aptos" w:hAnsi="Aptos"/>
                <w:b/>
                <w:color w:val="C99B3A"/>
                <w:sz w:val="16"/>
              </w:rPr>
              <w:t>WHY IT MATTERS</w:t>
            </w:r>
          </w:p>
          <w:p>
            <w:pPr>
              <w:spacing w:after="80"/>
            </w:pPr>
            <w:r>
              <w:rPr>
                <w:rFonts w:ascii="Aptos" w:hAnsi="Aptos"/>
                <w:b w:val="0"/>
                <w:color w:val="111111"/>
                <w:sz w:val="18"/>
              </w:rPr>
              <w:t>Montpelier is the counterexample that keeps SHADOW neutral: a community/public-benefit structure can participate in the process, yet winning an auction is not the same as acquiring the asset.</w:t>
            </w:r>
          </w:p>
          <w:p>
            <w:pPr>
              <w:spacing w:after="40"/>
            </w:pPr>
            <w:r>
              <w:rPr>
                <w:rFonts w:ascii="Aptos" w:hAnsi="Aptos"/>
                <w:b/>
                <w:color w:val="C99B3A"/>
                <w:sz w:val="16"/>
              </w:rPr>
              <w:t>OPEN RESEARCH</w:t>
            </w:r>
          </w:p>
          <w:p>
            <w:pPr>
              <w:spacing w:after="40"/>
            </w:pPr>
            <w:r>
              <w:rPr>
                <w:rFonts w:ascii="Aptos" w:hAnsi="Aptos"/>
                <w:b w:val="0"/>
                <w:color w:val="111111"/>
                <w:sz w:val="18"/>
              </w:rPr>
              <w:t>Track next federal disposition step, authoritative environmental/remediation obligations, valuation, community capital and any future buyer.</w:t>
            </w:r>
          </w:p>
          <w:p>
            <w:pPr>
              <w:spacing w:after="0"/>
            </w:pPr>
            <w:r>
              <w:rPr>
                <w:rFonts w:ascii="Aptos" w:hAnsi="Aptos"/>
                <w:b/>
                <w:color w:val="5F6B72"/>
                <w:sz w:val="15"/>
              </w:rPr>
              <w:t xml:space="preserve">Source: </w:t>
            </w:r>
            <w:hyperlink r:id="rId22">
              <w:r>
                <w:rPr>
                  <w:color w:val="315B6B"/>
                </w:rPr>
                <w:t>GSA Montpelier auction release</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Former Navy &amp; Marine Corps Reserve Center</w:t>
            </w:r>
          </w:p>
          <w:p>
            <w:pPr>
              <w:spacing w:after="100"/>
            </w:pPr>
            <w:r>
              <w:rPr>
                <w:rFonts w:ascii="Aptos" w:hAnsi="Aptos"/>
                <w:b/>
                <w:color w:val="C99B3A"/>
                <w:sz w:val="17"/>
              </w:rPr>
              <w:t>1863 Monroe Ave NW, Grand Rapids, Michigan  |  P4 HIGH BIDDER / S1 AUCTION COMPLETED</w:t>
            </w:r>
          </w:p>
          <w:p>
            <w:pPr>
              <w:spacing w:after="20"/>
            </w:pPr>
            <w:r>
              <w:rPr>
                <w:rFonts w:ascii="Aptos" w:hAnsi="Aptos"/>
                <w:b/>
                <w:color w:val="5F6B72"/>
                <w:sz w:val="15"/>
              </w:rPr>
              <w:t xml:space="preserve">BUILDINGS: </w:t>
            </w:r>
            <w:r>
              <w:rPr>
                <w:rFonts w:ascii="Aptos" w:hAnsi="Aptos"/>
                <w:b w:val="0"/>
                <w:color w:val="111111"/>
                <w:sz w:val="17"/>
              </w:rPr>
              <w:t>Four</w:t>
            </w:r>
          </w:p>
          <w:p>
            <w:pPr>
              <w:spacing w:after="20"/>
            </w:pPr>
            <w:r>
              <w:rPr>
                <w:rFonts w:ascii="Aptos" w:hAnsi="Aptos"/>
                <w:b/>
                <w:color w:val="5F6B72"/>
                <w:sz w:val="15"/>
              </w:rPr>
              <w:t xml:space="preserve">AREA: </w:t>
            </w:r>
            <w:r>
              <w:rPr>
                <w:rFonts w:ascii="Aptos" w:hAnsi="Aptos"/>
                <w:b w:val="0"/>
                <w:color w:val="111111"/>
                <w:sz w:val="17"/>
              </w:rPr>
              <w:t>48,120 gross sf</w:t>
            </w:r>
          </w:p>
          <w:p>
            <w:pPr>
              <w:spacing w:after="20"/>
            </w:pPr>
            <w:r>
              <w:rPr>
                <w:rFonts w:ascii="Aptos" w:hAnsi="Aptos"/>
                <w:b/>
                <w:color w:val="5F6B72"/>
                <w:sz w:val="15"/>
              </w:rPr>
              <w:t xml:space="preserve">LAND: </w:t>
            </w:r>
            <w:r>
              <w:rPr>
                <w:rFonts w:ascii="Aptos" w:hAnsi="Aptos"/>
                <w:b w:val="0"/>
                <w:color w:val="111111"/>
                <w:sz w:val="17"/>
              </w:rPr>
              <w:t>~3.47 acres</w:t>
            </w:r>
          </w:p>
          <w:p>
            <w:pPr>
              <w:spacing w:after="20"/>
            </w:pPr>
            <w:r>
              <w:rPr>
                <w:rFonts w:ascii="Aptos" w:hAnsi="Aptos"/>
                <w:b/>
                <w:color w:val="5F6B72"/>
                <w:sz w:val="15"/>
              </w:rPr>
              <w:t xml:space="preserve">GSA SAVINGS CLAIM: </w:t>
            </w:r>
            <w:r>
              <w:rPr>
                <w:rFonts w:ascii="Aptos" w:hAnsi="Aptos"/>
                <w:b w:val="0"/>
                <w:color w:val="111111"/>
                <w:sz w:val="17"/>
              </w:rPr>
              <w:t>~$350K annual operating cost and $27M cost avoidance</w:t>
            </w:r>
          </w:p>
          <w:p>
            <w:pPr>
              <w:spacing w:before="100" w:after="40"/>
            </w:pPr>
            <w:r>
              <w:rPr>
                <w:rFonts w:ascii="Aptos" w:hAnsi="Aptos"/>
                <w:b/>
                <w:color w:val="C99B3A"/>
                <w:sz w:val="16"/>
              </w:rPr>
              <w:t>WHY IT MATTERS</w:t>
            </w:r>
          </w:p>
          <w:p>
            <w:pPr>
              <w:spacing w:after="80"/>
            </w:pPr>
            <w:r>
              <w:rPr>
                <w:rFonts w:ascii="Aptos" w:hAnsi="Aptos"/>
                <w:b w:val="0"/>
                <w:color w:val="111111"/>
                <w:sz w:val="18"/>
              </w:rPr>
              <w:t>An operating-company high bidder is analytically different from a private-equity acquisition. SHADOW classifies capital rather than flattening all private buyers into one category.</w:t>
            </w:r>
          </w:p>
          <w:p>
            <w:pPr>
              <w:spacing w:after="40"/>
            </w:pPr>
            <w:r>
              <w:rPr>
                <w:rFonts w:ascii="Aptos" w:hAnsi="Aptos"/>
                <w:b/>
                <w:color w:val="C99B3A"/>
                <w:sz w:val="16"/>
              </w:rPr>
              <w:t>OPEN RESEARCH</w:t>
            </w:r>
          </w:p>
          <w:p>
            <w:pPr>
              <w:spacing w:after="40"/>
            </w:pPr>
            <w:r>
              <w:rPr>
                <w:rFonts w:ascii="Aptos" w:hAnsi="Aptos"/>
                <w:b w:val="0"/>
                <w:color w:val="111111"/>
                <w:sz w:val="18"/>
              </w:rPr>
              <w:t>Confirm federal acceptance, closing, deed, acquisition financing and final asset-state obligations.</w:t>
            </w:r>
          </w:p>
          <w:p>
            <w:pPr>
              <w:spacing w:after="0"/>
            </w:pPr>
            <w:r>
              <w:rPr>
                <w:rFonts w:ascii="Aptos" w:hAnsi="Aptos"/>
                <w:b/>
                <w:color w:val="5F6B72"/>
                <w:sz w:val="15"/>
              </w:rPr>
              <w:t xml:space="preserve">Source: </w:t>
            </w:r>
            <w:hyperlink r:id="rId23">
              <w:r>
                <w:rPr>
                  <w:color w:val="315B6B"/>
                </w:rPr>
                <w:t>GSA Grand Rapids auction release</w:t>
              </w:r>
            </w:hyperlink>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Hawkinsville Air Force Space Surveillance Station</w:t>
            </w:r>
          </w:p>
          <w:p>
            <w:pPr>
              <w:spacing w:after="100"/>
            </w:pPr>
            <w:r>
              <w:rPr>
                <w:rFonts w:ascii="Aptos" w:hAnsi="Aptos"/>
                <w:b/>
                <w:color w:val="C99B3A"/>
                <w:sz w:val="17"/>
              </w:rPr>
              <w:t>Hawkinsville, Georgia  |  P6 CLOSED / O0 BUYER UNDISCLOSED</w:t>
            </w:r>
          </w:p>
          <w:p>
            <w:pPr>
              <w:spacing w:after="20"/>
            </w:pPr>
            <w:r>
              <w:rPr>
                <w:rFonts w:ascii="Aptos" w:hAnsi="Aptos"/>
                <w:b/>
                <w:color w:val="5F6B72"/>
                <w:sz w:val="15"/>
              </w:rPr>
              <w:t xml:space="preserve">WORKING CONSIDERATION: </w:t>
            </w:r>
            <w:r>
              <w:rPr>
                <w:rFonts w:ascii="Aptos" w:hAnsi="Aptos"/>
                <w:b w:val="0"/>
                <w:color w:val="111111"/>
                <w:sz w:val="17"/>
              </w:rPr>
              <w:t>$730K</w:t>
            </w:r>
          </w:p>
          <w:p>
            <w:pPr>
              <w:spacing w:after="20"/>
            </w:pPr>
            <w:r>
              <w:rPr>
                <w:rFonts w:ascii="Aptos" w:hAnsi="Aptos"/>
                <w:b/>
                <w:color w:val="5F6B72"/>
                <w:sz w:val="15"/>
              </w:rPr>
              <w:t xml:space="preserve">LAND: </w:t>
            </w:r>
            <w:r>
              <w:rPr>
                <w:rFonts w:ascii="Aptos" w:hAnsi="Aptos"/>
                <w:b w:val="0"/>
                <w:color w:val="111111"/>
                <w:sz w:val="17"/>
              </w:rPr>
              <w:t>~131.8 acres</w:t>
            </w:r>
          </w:p>
          <w:p>
            <w:pPr>
              <w:spacing w:after="20"/>
            </w:pPr>
            <w:r>
              <w:rPr>
                <w:rFonts w:ascii="Aptos" w:hAnsi="Aptos"/>
                <w:b/>
                <w:color w:val="5F6B72"/>
                <w:sz w:val="15"/>
              </w:rPr>
              <w:t xml:space="preserve">RIGHTS FLAGS: </w:t>
            </w:r>
            <w:r>
              <w:rPr>
                <w:rFonts w:ascii="Aptos" w:hAnsi="Aptos"/>
                <w:b w:val="0"/>
                <w:color w:val="111111"/>
                <w:sz w:val="17"/>
              </w:rPr>
              <w:t>Water, mineral, oil/gas rights noted in seed research</w:t>
            </w:r>
          </w:p>
          <w:p>
            <w:pPr>
              <w:spacing w:before="100" w:after="40"/>
            </w:pPr>
            <w:r>
              <w:rPr>
                <w:rFonts w:ascii="Aptos" w:hAnsi="Aptos"/>
                <w:b/>
                <w:color w:val="C99B3A"/>
                <w:sz w:val="16"/>
              </w:rPr>
              <w:t>WHY IT MATTERS</w:t>
            </w:r>
          </w:p>
          <w:p>
            <w:pPr>
              <w:spacing w:after="80"/>
            </w:pPr>
            <w:r>
              <w:rPr>
                <w:rFonts w:ascii="Aptos" w:hAnsi="Aptos"/>
                <w:b w:val="0"/>
                <w:color w:val="111111"/>
                <w:sz w:val="18"/>
              </w:rPr>
              <w:t>This is a TitleChain Asset State priority because the economic object may be more than the surface parcel. Rights, reservations and environmental/decommissioning obligations must be resolved independently.</w:t>
            </w:r>
          </w:p>
          <w:p>
            <w:pPr>
              <w:spacing w:after="40"/>
            </w:pPr>
            <w:r>
              <w:rPr>
                <w:rFonts w:ascii="Aptos" w:hAnsi="Aptos"/>
                <w:b/>
                <w:color w:val="C99B3A"/>
                <w:sz w:val="16"/>
              </w:rPr>
              <w:t>OPEN RESEARCH</w:t>
            </w:r>
          </w:p>
          <w:p>
            <w:pPr>
              <w:spacing w:after="40"/>
            </w:pPr>
            <w:r>
              <w:rPr>
                <w:rFonts w:ascii="Aptos" w:hAnsi="Aptos"/>
                <w:b w:val="0"/>
                <w:color w:val="111111"/>
                <w:sz w:val="18"/>
              </w:rPr>
              <w:t>Obtain recorded deed/assignment; identify buyer, exact rights conveyed or reserved, leases/operators, abandoned infrastructure, remediation/decommissioning and successor liability.</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Big Spring Mineral Acres</w:t>
            </w:r>
          </w:p>
          <w:p>
            <w:pPr>
              <w:spacing w:after="100"/>
            </w:pPr>
            <w:r>
              <w:rPr>
                <w:rFonts w:ascii="Aptos" w:hAnsi="Aptos"/>
                <w:b/>
                <w:color w:val="C99B3A"/>
                <w:sz w:val="17"/>
              </w:rPr>
              <w:t>Big Spring, Texas  |  P6 CLOSED / O3 SPONSOR IDENTIFIED</w:t>
            </w:r>
          </w:p>
          <w:p>
            <w:pPr>
              <w:spacing w:after="20"/>
            </w:pPr>
            <w:r>
              <w:rPr>
                <w:rFonts w:ascii="Aptos" w:hAnsi="Aptos"/>
                <w:b/>
                <w:color w:val="5F6B72"/>
                <w:sz w:val="15"/>
              </w:rPr>
              <w:t xml:space="preserve">WORKING CONSIDERATION: </w:t>
            </w:r>
            <w:r>
              <w:rPr>
                <w:rFonts w:ascii="Aptos" w:hAnsi="Aptos"/>
                <w:b w:val="0"/>
                <w:color w:val="111111"/>
                <w:sz w:val="17"/>
              </w:rPr>
              <w:t>$3.90M</w:t>
            </w:r>
          </w:p>
          <w:p>
            <w:pPr>
              <w:spacing w:after="20"/>
            </w:pPr>
            <w:r>
              <w:rPr>
                <w:rFonts w:ascii="Aptos" w:hAnsi="Aptos"/>
                <w:b/>
                <w:color w:val="5F6B72"/>
                <w:sz w:val="15"/>
              </w:rPr>
              <w:t xml:space="preserve">INTEREST: </w:t>
            </w:r>
            <w:r>
              <w:rPr>
                <w:rFonts w:ascii="Aptos" w:hAnsi="Aptos"/>
                <w:b w:val="0"/>
                <w:color w:val="111111"/>
                <w:sz w:val="17"/>
              </w:rPr>
              <w:t>~133.6 net mineral acres</w:t>
            </w:r>
          </w:p>
          <w:p>
            <w:pPr>
              <w:spacing w:after="20"/>
            </w:pPr>
            <w:r>
              <w:rPr>
                <w:rFonts w:ascii="Aptos" w:hAnsi="Aptos"/>
                <w:b/>
                <w:color w:val="5F6B72"/>
                <w:sz w:val="15"/>
              </w:rPr>
              <w:t xml:space="preserve">WORKING BUYER: </w:t>
            </w:r>
            <w:r>
              <w:rPr>
                <w:rFonts w:ascii="Aptos" w:hAnsi="Aptos"/>
                <w:b w:val="0"/>
                <w:color w:val="111111"/>
                <w:sz w:val="17"/>
              </w:rPr>
              <w:t>Pransh Minerals LLC</w:t>
            </w:r>
          </w:p>
          <w:p>
            <w:pPr>
              <w:spacing w:after="20"/>
            </w:pPr>
            <w:r>
              <w:rPr>
                <w:rFonts w:ascii="Aptos" w:hAnsi="Aptos"/>
                <w:b/>
                <w:color w:val="5F6B72"/>
                <w:sz w:val="15"/>
              </w:rPr>
              <w:t xml:space="preserve">SPONSOR: </w:t>
            </w:r>
            <w:r>
              <w:rPr>
                <w:rFonts w:ascii="Aptos" w:hAnsi="Aptos"/>
                <w:b w:val="0"/>
                <w:color w:val="111111"/>
                <w:sz w:val="17"/>
              </w:rPr>
              <w:t>Pransh Group - working research</w:t>
            </w:r>
          </w:p>
          <w:p>
            <w:pPr>
              <w:spacing w:before="100" w:after="40"/>
            </w:pPr>
            <w:r>
              <w:rPr>
                <w:rFonts w:ascii="Aptos" w:hAnsi="Aptos"/>
                <w:b/>
                <w:color w:val="C99B3A"/>
                <w:sz w:val="16"/>
              </w:rPr>
              <w:t>WHY IT MATTERS</w:t>
            </w:r>
          </w:p>
          <w:p>
            <w:pPr>
              <w:spacing w:after="80"/>
            </w:pPr>
            <w:r>
              <w:rPr>
                <w:rFonts w:ascii="Aptos" w:hAnsi="Aptos"/>
                <w:b w:val="0"/>
                <w:color w:val="111111"/>
                <w:sz w:val="18"/>
              </w:rPr>
              <w:t>A rights-only asset illustrates why SHADOW cannot assume the “property” is a building or surface estate. The title object itself may be a severed mineral interest.</w:t>
            </w:r>
          </w:p>
          <w:p>
            <w:pPr>
              <w:spacing w:after="40"/>
            </w:pPr>
            <w:r>
              <w:rPr>
                <w:rFonts w:ascii="Aptos" w:hAnsi="Aptos"/>
                <w:b/>
                <w:color w:val="C99B3A"/>
                <w:sz w:val="16"/>
              </w:rPr>
              <w:t>OPEN RESEARCH</w:t>
            </w:r>
          </w:p>
          <w:p>
            <w:pPr>
              <w:spacing w:after="40"/>
            </w:pPr>
            <w:r>
              <w:rPr>
                <w:rFonts w:ascii="Aptos" w:hAnsi="Aptos"/>
                <w:b w:val="0"/>
                <w:color w:val="111111"/>
                <w:sz w:val="18"/>
              </w:rPr>
              <w:t>Capture the recorded conveyance, exact mineral estate, reservations, leases, operator interests, royalties/burdens, transferability and ultimate capital.</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Former SSA Office - Racine</w:t>
            </w:r>
          </w:p>
          <w:p>
            <w:pPr>
              <w:spacing w:after="100"/>
            </w:pPr>
            <w:r>
              <w:rPr>
                <w:rFonts w:ascii="Aptos" w:hAnsi="Aptos"/>
                <w:b/>
                <w:color w:val="C99B3A"/>
                <w:sz w:val="17"/>
              </w:rPr>
              <w:t>4020 Durand Ave, Racine, Wisconsin  |  P6 CLOSED / S4 DEED CONFIRMED / O1 GRANTEE IDENTIFIED</w:t>
            </w:r>
          </w:p>
          <w:p>
            <w:pPr>
              <w:spacing w:after="20"/>
            </w:pPr>
            <w:r>
              <w:rPr>
                <w:rFonts w:ascii="Aptos" w:hAnsi="Aptos"/>
                <w:b/>
                <w:color w:val="5F6B72"/>
                <w:sz w:val="15"/>
              </w:rPr>
              <w:t xml:space="preserve">WORKING CONSIDERATION: </w:t>
            </w:r>
            <w:r>
              <w:rPr>
                <w:rFonts w:ascii="Aptos" w:hAnsi="Aptos"/>
                <w:b w:val="0"/>
                <w:color w:val="111111"/>
                <w:sz w:val="17"/>
              </w:rPr>
              <w:t>$625,151</w:t>
            </w:r>
          </w:p>
          <w:p>
            <w:pPr>
              <w:spacing w:after="20"/>
            </w:pPr>
            <w:r>
              <w:rPr>
                <w:rFonts w:ascii="Aptos" w:hAnsi="Aptos"/>
                <w:b/>
                <w:color w:val="5F6B72"/>
                <w:sz w:val="15"/>
              </w:rPr>
              <w:t xml:space="preserve">RECORDED OWNER IN SEED RESEARCH: </w:t>
            </w:r>
            <w:r>
              <w:rPr>
                <w:rFonts w:ascii="Aptos" w:hAnsi="Aptos"/>
                <w:b w:val="0"/>
                <w:color w:val="111111"/>
                <w:sz w:val="17"/>
              </w:rPr>
              <w:t>RAMA LLC</w:t>
            </w:r>
          </w:p>
          <w:p>
            <w:pPr>
              <w:spacing w:after="20"/>
            </w:pPr>
            <w:r>
              <w:rPr>
                <w:rFonts w:ascii="Aptos" w:hAnsi="Aptos"/>
                <w:b/>
                <w:color w:val="5F6B72"/>
                <w:sz w:val="15"/>
              </w:rPr>
              <w:t xml:space="preserve">SUBSEQUENT LISTING: </w:t>
            </w:r>
            <w:r>
              <w:rPr>
                <w:rFonts w:ascii="Aptos" w:hAnsi="Aptos"/>
                <w:b w:val="0"/>
                <w:color w:val="111111"/>
                <w:sz w:val="17"/>
              </w:rPr>
              <w:t>Working research observed an asking price of $895,000 - asking price is not a market value or completed resale</w:t>
            </w:r>
          </w:p>
          <w:p>
            <w:pPr>
              <w:spacing w:before="100" w:after="40"/>
            </w:pPr>
            <w:r>
              <w:rPr>
                <w:rFonts w:ascii="Aptos" w:hAnsi="Aptos"/>
                <w:b/>
                <w:color w:val="C99B3A"/>
                <w:sz w:val="16"/>
              </w:rPr>
              <w:t>WHY IT MATTERS</w:t>
            </w:r>
          </w:p>
          <w:p>
            <w:pPr>
              <w:spacing w:after="80"/>
            </w:pPr>
            <w:r>
              <w:rPr>
                <w:rFonts w:ascii="Aptos" w:hAnsi="Aptos"/>
                <w:b w:val="0"/>
                <w:color w:val="111111"/>
                <w:sz w:val="18"/>
              </w:rPr>
              <w:t>Racine is an early Public Value Migration case: federal sale, LLC ownership, subsequent market positioning and proposed adaptive use can be tracked as separate state events.</w:t>
            </w:r>
          </w:p>
          <w:p>
            <w:pPr>
              <w:spacing w:after="40"/>
            </w:pPr>
            <w:r>
              <w:rPr>
                <w:rFonts w:ascii="Aptos" w:hAnsi="Aptos"/>
                <w:b/>
                <w:color w:val="C99B3A"/>
                <w:sz w:val="16"/>
              </w:rPr>
              <w:t>OPEN RESEARCH</w:t>
            </w:r>
          </w:p>
          <w:p>
            <w:pPr>
              <w:spacing w:after="40"/>
            </w:pPr>
            <w:r>
              <w:rPr>
                <w:rFonts w:ascii="Aptos" w:hAnsi="Aptos"/>
                <w:b w:val="0"/>
                <w:color w:val="111111"/>
                <w:sz w:val="18"/>
              </w:rPr>
              <w:t>Resolve RAMA LLC beneficial ownership, acquisition financing, subsequent use approvals, any resale/refinance, and the relationship - if any - among similarly named parties in public records. Do not infer relationships from names alone.</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Former USGS / Rockaway Grove</w:t>
            </w:r>
          </w:p>
          <w:p>
            <w:pPr>
              <w:spacing w:after="100"/>
            </w:pPr>
            <w:r>
              <w:rPr>
                <w:rFonts w:ascii="Aptos" w:hAnsi="Aptos"/>
                <w:b/>
                <w:color w:val="C99B3A"/>
                <w:sz w:val="17"/>
              </w:rPr>
              <w:t>Menlo Park, California  |  P6 CLOSED / O3 SPONSOR IDENTIFIED</w:t>
            </w:r>
          </w:p>
          <w:p>
            <w:pPr>
              <w:spacing w:after="20"/>
            </w:pPr>
            <w:r>
              <w:rPr>
                <w:rFonts w:ascii="Aptos" w:hAnsi="Aptos"/>
                <w:b/>
                <w:color w:val="5F6B72"/>
                <w:sz w:val="15"/>
              </w:rPr>
              <w:t xml:space="preserve">WORKING CONSIDERATION: </w:t>
            </w:r>
            <w:r>
              <w:rPr>
                <w:rFonts w:ascii="Aptos" w:hAnsi="Aptos"/>
                <w:b w:val="0"/>
                <w:color w:val="111111"/>
                <w:sz w:val="17"/>
              </w:rPr>
              <w:t>$137.0M</w:t>
            </w:r>
          </w:p>
          <w:p>
            <w:pPr>
              <w:spacing w:after="20"/>
            </w:pPr>
            <w:r>
              <w:rPr>
                <w:rFonts w:ascii="Aptos" w:hAnsi="Aptos"/>
                <w:b/>
                <w:color w:val="5F6B72"/>
                <w:sz w:val="15"/>
              </w:rPr>
              <w:t xml:space="preserve">WORKING GRANTEE: </w:t>
            </w:r>
            <w:r>
              <w:rPr>
                <w:rFonts w:ascii="Aptos" w:hAnsi="Aptos"/>
                <w:b w:val="0"/>
                <w:color w:val="111111"/>
                <w:sz w:val="17"/>
              </w:rPr>
              <w:t>USGS Menlo Park LLC</w:t>
            </w:r>
          </w:p>
          <w:p>
            <w:pPr>
              <w:spacing w:after="20"/>
            </w:pPr>
            <w:r>
              <w:rPr>
                <w:rFonts w:ascii="Aptos" w:hAnsi="Aptos"/>
                <w:b/>
                <w:color w:val="5F6B72"/>
                <w:sz w:val="15"/>
              </w:rPr>
              <w:t xml:space="preserve">WORKING SPONSOR: </w:t>
            </w:r>
            <w:r>
              <w:rPr>
                <w:rFonts w:ascii="Aptos" w:hAnsi="Aptos"/>
                <w:b w:val="0"/>
                <w:color w:val="111111"/>
                <w:sz w:val="17"/>
              </w:rPr>
              <w:t>Presidio Bay Ventures</w:t>
            </w:r>
          </w:p>
          <w:p>
            <w:pPr>
              <w:spacing w:before="100" w:after="40"/>
            </w:pPr>
            <w:r>
              <w:rPr>
                <w:rFonts w:ascii="Aptos" w:hAnsi="Aptos"/>
                <w:b/>
                <w:color w:val="C99B3A"/>
                <w:sz w:val="16"/>
              </w:rPr>
              <w:t>WHY IT MATTERS</w:t>
            </w:r>
          </w:p>
          <w:p>
            <w:pPr>
              <w:spacing w:after="80"/>
            </w:pPr>
            <w:r>
              <w:rPr>
                <w:rFonts w:ascii="Aptos" w:hAnsi="Aptos"/>
                <w:b w:val="0"/>
                <w:color w:val="111111"/>
                <w:sz w:val="18"/>
              </w:rPr>
              <w:t>One of the largest priced transactions in the seed sample and useful for measuring buyer competition, redevelopment plans and ultimate capital behind a federal disposition.</w:t>
            </w:r>
          </w:p>
          <w:p>
            <w:pPr>
              <w:spacing w:after="40"/>
            </w:pPr>
            <w:r>
              <w:rPr>
                <w:rFonts w:ascii="Aptos" w:hAnsi="Aptos"/>
                <w:b/>
                <w:color w:val="C99B3A"/>
                <w:sz w:val="16"/>
              </w:rPr>
              <w:t>OPEN RESEARCH</w:t>
            </w:r>
          </w:p>
          <w:p>
            <w:pPr>
              <w:spacing w:after="40"/>
            </w:pPr>
            <w:r>
              <w:rPr>
                <w:rFonts w:ascii="Aptos" w:hAnsi="Aptos"/>
                <w:b w:val="0"/>
                <w:color w:val="111111"/>
                <w:sz w:val="18"/>
              </w:rPr>
              <w:t>Capture recorded deed, lender, equity capital, final entitlements and post-disposition valuation before promoting the entire chain to canonical status.</w:t>
            </w:r>
          </w:p>
        </w:tc>
      </w:tr>
    </w:tbl>
    <w:p>
      <w:pPr>
        <w:spacing w:after="0"/>
      </w:pPr>
    </w:p>
    <w:tbl>
      <w:tblPr>
        <w:tblW w:type="auto" w:w="0"/>
        <w:jc w:val="center"/>
        <w:tblLayout w:type="fixed"/>
        <w:tblLook w:firstColumn="1" w:firstRow="1" w:lastColumn="0" w:lastRow="0" w:noHBand="0" w:noVBand="1" w:val="04A0"/>
      </w:tblPr>
      <w:tblGrid>
        <w:gridCol w:w="10166"/>
      </w:tblGrid>
      <w:tr>
        <w:trPr>
          <w:cantSplit/>
        </w:trPr>
        <w:tc>
          <w:tcPr>
            <w:tcW w:type="dxa" w:w="10166"/>
            <w:shd w:fill="F8FAFB"/>
            <w:tcMar>
              <w:top w:w="120" w:type="dxa"/>
              <w:start w:w="140" w:type="dxa"/>
              <w:bottom w:w="120" w:type="dxa"/>
              <w:end w:w="140" w:type="dxa"/>
            </w:tcMar>
            <w:tcBorders>
              <w:top w:val="single" w:sz="8" w:color="D8E0E4"/>
              <w:left w:val="single" w:sz="8" w:color="D8E0E4"/>
              <w:bottom w:val="single" w:sz="8" w:color="D8E0E4"/>
              <w:right w:val="single" w:sz="8" w:color="D8E0E4"/>
            </w:tcBorders>
          </w:tcPr>
          <w:p>
            <w:pPr>
              <w:spacing w:after="20"/>
            </w:pPr>
            <w:r>
              <w:rPr>
                <w:rFonts w:ascii="Aptos Display" w:hAnsi="Aptos Display"/>
                <w:b/>
                <w:color w:val="0C2230"/>
                <w:sz w:val="26"/>
              </w:rPr>
              <w:t>Chet Holifield Federal Building / “Ziggurat”</w:t>
            </w:r>
          </w:p>
          <w:p>
            <w:pPr>
              <w:spacing w:after="100"/>
            </w:pPr>
            <w:r>
              <w:rPr>
                <w:rFonts w:ascii="Aptos" w:hAnsi="Aptos"/>
                <w:b/>
                <w:color w:val="C99B3A"/>
                <w:sz w:val="17"/>
              </w:rPr>
              <w:t>Laguna Niguel, California  |  P6 CLOSED / O3 SPONSOR IDENTIFIED</w:t>
            </w:r>
          </w:p>
          <w:p>
            <w:pPr>
              <w:spacing w:after="20"/>
            </w:pPr>
            <w:r>
              <w:rPr>
                <w:rFonts w:ascii="Aptos" w:hAnsi="Aptos"/>
                <w:b/>
                <w:color w:val="5F6B72"/>
                <w:sz w:val="15"/>
              </w:rPr>
              <w:t xml:space="preserve">WORKING CONSIDERATION: </w:t>
            </w:r>
            <w:r>
              <w:rPr>
                <w:rFonts w:ascii="Aptos" w:hAnsi="Aptos"/>
                <w:b w:val="0"/>
                <w:color w:val="111111"/>
                <w:sz w:val="17"/>
              </w:rPr>
              <w:t>&gt; $207M</w:t>
            </w:r>
          </w:p>
          <w:p>
            <w:pPr>
              <w:spacing w:after="20"/>
            </w:pPr>
            <w:r>
              <w:rPr>
                <w:rFonts w:ascii="Aptos" w:hAnsi="Aptos"/>
                <w:b/>
                <w:color w:val="5F6B72"/>
                <w:sz w:val="15"/>
              </w:rPr>
              <w:t xml:space="preserve">WORKING GRANTEE: </w:t>
            </w:r>
            <w:r>
              <w:rPr>
                <w:rFonts w:ascii="Aptos" w:hAnsi="Aptos"/>
                <w:b w:val="0"/>
                <w:color w:val="111111"/>
                <w:sz w:val="17"/>
              </w:rPr>
              <w:t>Laguna Ridge Health Care Development LLC</w:t>
            </w:r>
          </w:p>
          <w:p>
            <w:pPr>
              <w:spacing w:after="20"/>
            </w:pPr>
            <w:r>
              <w:rPr>
                <w:rFonts w:ascii="Aptos" w:hAnsi="Aptos"/>
                <w:b/>
                <w:color w:val="5F6B72"/>
                <w:sz w:val="15"/>
              </w:rPr>
              <w:t xml:space="preserve">WORKING SPONSOR: </w:t>
            </w:r>
            <w:r>
              <w:rPr>
                <w:rFonts w:ascii="Aptos" w:hAnsi="Aptos"/>
                <w:b w:val="0"/>
                <w:color w:val="111111"/>
                <w:sz w:val="17"/>
              </w:rPr>
              <w:t>Hoag Memorial Hospital Presbyterian / nonprofit</w:t>
            </w:r>
          </w:p>
          <w:p>
            <w:pPr>
              <w:spacing w:before="100" w:after="40"/>
            </w:pPr>
            <w:r>
              <w:rPr>
                <w:rFonts w:ascii="Aptos" w:hAnsi="Aptos"/>
                <w:b/>
                <w:color w:val="C99B3A"/>
                <w:sz w:val="16"/>
              </w:rPr>
              <w:t>WHY IT MATTERS</w:t>
            </w:r>
          </w:p>
          <w:p>
            <w:pPr>
              <w:spacing w:after="80"/>
            </w:pPr>
            <w:r>
              <w:rPr>
                <w:rFonts w:ascii="Aptos" w:hAnsi="Aptos"/>
                <w:b w:val="0"/>
                <w:color w:val="111111"/>
                <w:sz w:val="18"/>
              </w:rPr>
              <w:t>This is the clearest large-value nonprofit/institutional counterweight in the seed sample and prevents a simplistic public-to-private-equity narrative.</w:t>
            </w:r>
          </w:p>
          <w:p>
            <w:pPr>
              <w:spacing w:after="40"/>
            </w:pPr>
            <w:r>
              <w:rPr>
                <w:rFonts w:ascii="Aptos" w:hAnsi="Aptos"/>
                <w:b/>
                <w:color w:val="C99B3A"/>
                <w:sz w:val="16"/>
              </w:rPr>
              <w:t>OPEN RESEARCH</w:t>
            </w:r>
          </w:p>
          <w:p>
            <w:pPr>
              <w:spacing w:after="40"/>
            </w:pPr>
            <w:r>
              <w:rPr>
                <w:rFonts w:ascii="Aptos" w:hAnsi="Aptos"/>
                <w:b w:val="0"/>
                <w:color w:val="111111"/>
                <w:sz w:val="18"/>
              </w:rPr>
              <w:t>Capture exact final consideration, deed, restrictions, environmental obligations, development plan and any financing structure.</w:t>
            </w:r>
          </w:p>
        </w:tc>
      </w:tr>
    </w:tbl>
    <w:p>
      <w:pPr>
        <w:spacing w:after="0"/>
      </w:pPr>
    </w:p>
    <w:p>
      <w:pPr>
        <w:spacing w:before="160" w:after="40"/>
      </w:pPr>
      <w:r>
        <w:rPr>
          <w:rFonts w:ascii="Aptos" w:hAnsi="Aptos"/>
          <w:b/>
          <w:color w:val="C99B3A"/>
          <w:sz w:val="17"/>
        </w:rPr>
        <w:t>09</w:t>
      </w:r>
    </w:p>
    <w:p>
      <w:pPr>
        <w:spacing w:after="80"/>
      </w:pPr>
      <w:r>
        <w:rPr>
          <w:rFonts w:ascii="Aptos Display" w:hAnsi="Aptos Display"/>
          <w:b/>
          <w:color w:val="0C2230"/>
          <w:sz w:val="48"/>
        </w:rPr>
        <w:t>People’s Trust Pathway</w:t>
      </w:r>
    </w:p>
    <w:p>
      <w:pPr>
        <w:spacing w:after="200"/>
      </w:pPr>
      <w:r>
        <w:rPr>
          <w:rFonts w:ascii="Aptos" w:hAnsi="Aptos"/>
          <w:b w:val="0"/>
          <w:color w:val="5F6B72"/>
          <w:sz w:val="21"/>
        </w:rPr>
        <w:t>Research first. State first. Authority before action.</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THE QUESTION IS NOT “INVESTORS OR NO INVESTORS.”</w:t>
            </w:r>
          </w:p>
          <w:p>
            <w:pPr>
              <w:spacing w:after="0" w:line="252" w:lineRule="auto"/>
            </w:pPr>
            <w:r>
              <w:rPr>
                <w:rFonts w:ascii="Aptos" w:hAnsi="Aptos"/>
                <w:b w:val="0"/>
                <w:color w:val="111111"/>
                <w:sz w:val="18"/>
              </w:rPr>
              <w:t>Major real-world assets may require outside debt and equity. The structural question is who retains the productive asset and residual economics after defined capital obligations are repaid, and what public-benefit restrictions remain attached to the asset.</w:t>
            </w:r>
          </w:p>
        </w:tc>
      </w:tr>
    </w:tbl>
    <w:p>
      <w:pPr>
        <w:spacing w:after="0"/>
      </w:pPr>
    </w:p>
    <w:p>
      <w:pPr>
        <w:spacing w:after="80"/>
      </w:pPr>
      <w:r>
        <w:rPr>
          <w:rFonts w:ascii="Aptos" w:hAnsi="Aptos"/>
          <w:b/>
          <w:color w:val="0C2230"/>
          <w:sz w:val="22"/>
        </w:rPr>
        <w:t>Conventional path</w:t>
      </w:r>
    </w:p>
    <w:p>
      <w:pPr>
        <w:jc w:val="center"/>
      </w:pPr>
      <w:r>
        <w:rPr>
          <w:rFonts w:ascii="Aptos" w:hAnsi="Aptos"/>
          <w:b/>
          <w:color w:val="5F6B72"/>
          <w:sz w:val="18"/>
        </w:rPr>
        <w:t>PUBLIC / DISTRESSED ASSET  →  ACQUISITION SPE  →  EQUITY + DEBT  →  REDEVELOPMENT  →  REFINANCE / SALE  →  PRIVATE RESIDUAL VALUE</w:t>
      </w:r>
    </w:p>
    <w:p>
      <w:pPr>
        <w:spacing w:before="160" w:after="80"/>
      </w:pPr>
      <w:r>
        <w:rPr>
          <w:rFonts w:ascii="Aptos" w:hAnsi="Aptos"/>
          <w:b/>
          <w:color w:val="0C2230"/>
          <w:sz w:val="22"/>
        </w:rPr>
        <w:t>People’s Trust research path</w:t>
      </w:r>
    </w:p>
    <w:p>
      <w:pPr>
        <w:jc w:val="center"/>
      </w:pPr>
      <w:r>
        <w:rPr>
          <w:rFonts w:ascii="Aptos" w:hAnsi="Aptos"/>
          <w:b/>
          <w:color w:val="C99B3A"/>
          <w:sz w:val="18"/>
        </w:rPr>
        <w:t>ASSET  →  TITLECHAIN STATE REVIEW  →  JURISDICTION-SPECIFIC PUBLIC-BENEFIT STRUCTURE  →  STRUCTURED CAPITAL  →  REHABILITATION  →  PRODUCTIVE REVENUE  →  REPAYMENT  →  DEFINED RESIDUAL ECONOMICS  →  ENDURING STEWARDSHIP</w:t>
      </w:r>
    </w:p>
    <w:p>
      <w:pPr>
        <w:spacing w:before="160" w:after="60"/>
      </w:pPr>
      <w:r>
        <w:rPr>
          <w:rFonts w:ascii="Aptos" w:hAnsi="Aptos"/>
          <w:b/>
          <w:color w:val="0C2230"/>
          <w:sz w:val="22"/>
        </w:rPr>
        <w:t>Nomination workflow</w:t>
      </w:r>
    </w:p>
    <w:p>
      <w:pPr>
        <w:pStyle w:val="ListNumber"/>
        <w:spacing w:after="60"/>
      </w:pPr>
      <w:r>
        <w:rPr>
          <w:rFonts w:ascii="Aptos" w:hAnsi="Aptos"/>
          <w:b w:val="0"/>
          <w:color w:val="111111"/>
          <w:sz w:val="18"/>
        </w:rPr>
        <w:t>Discovered / nominated</w:t>
      </w:r>
    </w:p>
    <w:p>
      <w:pPr>
        <w:pStyle w:val="ListNumber"/>
        <w:spacing w:after="60"/>
      </w:pPr>
      <w:r>
        <w:rPr>
          <w:rFonts w:ascii="Aptos" w:hAnsi="Aptos"/>
          <w:b w:val="0"/>
          <w:color w:val="111111"/>
          <w:sz w:val="18"/>
        </w:rPr>
        <w:t>Evidence review</w:t>
      </w:r>
    </w:p>
    <w:p>
      <w:pPr>
        <w:pStyle w:val="ListNumber"/>
        <w:spacing w:after="60"/>
      </w:pPr>
      <w:r>
        <w:rPr>
          <w:rFonts w:ascii="Aptos" w:hAnsi="Aptos"/>
          <w:b w:val="0"/>
          <w:color w:val="111111"/>
          <w:sz w:val="18"/>
        </w:rPr>
        <w:t>Title and jurisdiction review</w:t>
      </w:r>
    </w:p>
    <w:p>
      <w:pPr>
        <w:pStyle w:val="ListNumber"/>
        <w:spacing w:after="60"/>
      </w:pPr>
      <w:r>
        <w:rPr>
          <w:rFonts w:ascii="Aptos" w:hAnsi="Aptos"/>
          <w:b w:val="0"/>
          <w:color w:val="111111"/>
          <w:sz w:val="18"/>
        </w:rPr>
        <w:t>Debt and liens</w:t>
      </w:r>
    </w:p>
    <w:p>
      <w:pPr>
        <w:pStyle w:val="ListNumber"/>
        <w:spacing w:after="60"/>
      </w:pPr>
      <w:r>
        <w:rPr>
          <w:rFonts w:ascii="Aptos" w:hAnsi="Aptos"/>
          <w:b w:val="0"/>
          <w:color w:val="111111"/>
          <w:sz w:val="18"/>
        </w:rPr>
        <w:t>Rights, claims and obligations</w:t>
      </w:r>
    </w:p>
    <w:p>
      <w:pPr>
        <w:pStyle w:val="ListNumber"/>
        <w:spacing w:after="60"/>
      </w:pPr>
      <w:r>
        <w:rPr>
          <w:rFonts w:ascii="Aptos" w:hAnsi="Aptos"/>
          <w:b w:val="0"/>
          <w:color w:val="111111"/>
          <w:sz w:val="18"/>
        </w:rPr>
        <w:t>Environmental state</w:t>
      </w:r>
    </w:p>
    <w:p>
      <w:pPr>
        <w:pStyle w:val="ListNumber"/>
        <w:spacing w:after="60"/>
      </w:pPr>
      <w:r>
        <w:rPr>
          <w:rFonts w:ascii="Aptos" w:hAnsi="Aptos"/>
          <w:b w:val="0"/>
          <w:color w:val="111111"/>
          <w:sz w:val="18"/>
        </w:rPr>
        <w:t>Public-benefit eligibility</w:t>
      </w:r>
    </w:p>
    <w:p>
      <w:pPr>
        <w:pStyle w:val="ListNumber"/>
        <w:spacing w:after="60"/>
      </w:pPr>
      <w:r>
        <w:rPr>
          <w:rFonts w:ascii="Aptos" w:hAnsi="Aptos"/>
          <w:b w:val="0"/>
          <w:color w:val="111111"/>
          <w:sz w:val="18"/>
        </w:rPr>
        <w:t>Operating and capital feasibility</w:t>
      </w:r>
    </w:p>
    <w:p>
      <w:pPr>
        <w:pStyle w:val="ListNumber"/>
        <w:spacing w:after="60"/>
      </w:pPr>
      <w:r>
        <w:rPr>
          <w:rFonts w:ascii="Aptos" w:hAnsi="Aptos"/>
          <w:b w:val="0"/>
          <w:color w:val="111111"/>
          <w:sz w:val="18"/>
        </w:rPr>
        <w:t>Community review</w:t>
      </w:r>
    </w:p>
    <w:p>
      <w:pPr>
        <w:pStyle w:val="ListNumber"/>
        <w:spacing w:after="60"/>
      </w:pPr>
      <w:r>
        <w:rPr>
          <w:rFonts w:ascii="Aptos" w:hAnsi="Aptos"/>
          <w:b w:val="0"/>
          <w:color w:val="111111"/>
          <w:sz w:val="18"/>
        </w:rPr>
        <w:t>Advance / hold / decline / need more evidence</w:t>
      </w:r>
    </w:p>
    <w:p>
      <w:pPr>
        <w:spacing w:before="80" w:after="100"/>
      </w:pPr>
      <w:r>
        <w:rPr>
          <w:rFonts w:ascii="Aptos" w:hAnsi="Aptos"/>
          <w:b w:val="0"/>
          <w:i/>
          <w:color w:val="5F6B72"/>
          <w:sz w:val="16"/>
        </w:rPr>
        <w:t>Nomination creates no ownership right, security, investment right, membership, financing commitment or acquisition obligation.</w:t>
      </w:r>
    </w:p>
    <w:p>
      <w:pPr>
        <w:spacing w:before="160" w:after="40"/>
      </w:pPr>
      <w:r>
        <w:rPr>
          <w:rFonts w:ascii="Aptos" w:hAnsi="Aptos"/>
          <w:b/>
          <w:color w:val="C99B3A"/>
          <w:sz w:val="17"/>
        </w:rPr>
        <w:t>10</w:t>
      </w:r>
    </w:p>
    <w:p>
      <w:pPr>
        <w:spacing w:after="80"/>
      </w:pPr>
      <w:r>
        <w:rPr>
          <w:rFonts w:ascii="Aptos Display" w:hAnsi="Aptos Display"/>
          <w:b/>
          <w:color w:val="0C2230"/>
          <w:sz w:val="48"/>
        </w:rPr>
        <w:t>M5 Global Index and Exchange Feed</w:t>
      </w:r>
    </w:p>
    <w:p>
      <w:pPr>
        <w:spacing w:after="200"/>
      </w:pPr>
      <w:r>
        <w:rPr>
          <w:rFonts w:ascii="Aptos" w:hAnsi="Aptos"/>
          <w:b w:val="0"/>
          <w:color w:val="5F6B72"/>
          <w:sz w:val="21"/>
        </w:rPr>
        <w:t>From chained asset events to privacy-preserving economic intelligence</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p>
      <w:pPr>
        <w:spacing w:after="160"/>
      </w:pPr>
      <w:r>
        <w:rPr>
          <w:rFonts w:ascii="Aptos" w:hAnsi="Aptos"/>
          <w:b w:val="0"/>
          <w:color w:val="111111"/>
          <w:sz w:val="19"/>
        </w:rPr>
        <w:t>SHADOW M5Index is the asset/debt/ownership transition index. M5 Global Index and Exchange is the broader public economic-intelligence layer. “Exchange” refers to the exchange of index data, methodologies, signals and market/agency intelligence - not a securities exchange, ATS or broker-dealer venue.</w:t>
      </w:r>
    </w:p>
    <w:p>
      <w:pPr>
        <w:spacing w:after="160"/>
        <w:jc w:val="center"/>
      </w:pPr>
      <w:r>
        <w:rPr>
          <w:rFonts w:ascii="Aptos" w:hAnsi="Aptos"/>
          <w:b/>
          <w:color w:val="C99B3A"/>
          <w:sz w:val="18"/>
        </w:rPr>
        <w:t>REAL-WORLD ASSET  →  TITLECHAIN STATE EVENT  →  M5CANON / ORBITALYS  →  SHADOW M5INDEX  →  PUBLIC-SAFE AGGREGATE SIGNAL  →  M5 GLOBAL INDEX AND EXCHANGE</w:t>
      </w:r>
    </w:p>
    <w:p>
      <w:pPr>
        <w:pStyle w:val="ListBullet"/>
        <w:spacing w:after="60"/>
      </w:pPr>
      <w:r>
        <w:rPr>
          <w:rFonts w:ascii="Aptos" w:hAnsi="Aptos"/>
          <w:b w:val="0"/>
          <w:color w:val="111111"/>
          <w:sz w:val="18"/>
        </w:rPr>
        <w:t>TITLE_VERIFIED</w:t>
      </w:r>
    </w:p>
    <w:p>
      <w:pPr>
        <w:pStyle w:val="ListBullet"/>
        <w:spacing w:after="60"/>
      </w:pPr>
      <w:r>
        <w:rPr>
          <w:rFonts w:ascii="Aptos" w:hAnsi="Aptos"/>
          <w:b w:val="0"/>
          <w:color w:val="111111"/>
          <w:sz w:val="18"/>
        </w:rPr>
        <w:t>LIEN_ADDED / LIEN_RELEASED</w:t>
      </w:r>
    </w:p>
    <w:p>
      <w:pPr>
        <w:pStyle w:val="ListBullet"/>
        <w:spacing w:after="60"/>
      </w:pPr>
      <w:r>
        <w:rPr>
          <w:rFonts w:ascii="Aptos" w:hAnsi="Aptos"/>
          <w:b w:val="0"/>
          <w:color w:val="111111"/>
          <w:sz w:val="18"/>
        </w:rPr>
        <w:t>RIGHT_RESERVED</w:t>
      </w:r>
    </w:p>
    <w:p>
      <w:pPr>
        <w:pStyle w:val="ListBullet"/>
        <w:spacing w:after="60"/>
      </w:pPr>
      <w:r>
        <w:rPr>
          <w:rFonts w:ascii="Aptos" w:hAnsi="Aptos"/>
          <w:b w:val="0"/>
          <w:color w:val="111111"/>
          <w:sz w:val="18"/>
        </w:rPr>
        <w:t>DEBT_REFINANCED</w:t>
      </w:r>
    </w:p>
    <w:p>
      <w:pPr>
        <w:pStyle w:val="ListBullet"/>
        <w:spacing w:after="60"/>
      </w:pPr>
      <w:r>
        <w:rPr>
          <w:rFonts w:ascii="Aptos" w:hAnsi="Aptos"/>
          <w:b w:val="0"/>
          <w:color w:val="111111"/>
          <w:sz w:val="18"/>
        </w:rPr>
        <w:t>ENVIRONMENTAL_OBLIGATION_IDENTIFIED</w:t>
      </w:r>
    </w:p>
    <w:p>
      <w:pPr>
        <w:pStyle w:val="ListBullet"/>
        <w:spacing w:after="60"/>
      </w:pPr>
      <w:r>
        <w:rPr>
          <w:rFonts w:ascii="Aptos" w:hAnsi="Aptos"/>
          <w:b w:val="0"/>
          <w:color w:val="111111"/>
          <w:sz w:val="18"/>
        </w:rPr>
        <w:t>TRANSFER_AUTHORIZED / TRANSFER_RECORDED</w:t>
      </w:r>
    </w:p>
    <w:p>
      <w:pPr>
        <w:pStyle w:val="ListBullet"/>
        <w:spacing w:after="60"/>
      </w:pPr>
      <w:r>
        <w:rPr>
          <w:rFonts w:ascii="Aptos" w:hAnsi="Aptos"/>
          <w:b w:val="0"/>
          <w:color w:val="111111"/>
          <w:sz w:val="18"/>
        </w:rPr>
        <w:t>REMEDIATION_COMPLETE</w:t>
      </w:r>
    </w:p>
    <w:p>
      <w:pPr>
        <w:pStyle w:val="ListBullet"/>
        <w:spacing w:after="60"/>
      </w:pPr>
      <w:r>
        <w:rPr>
          <w:rFonts w:ascii="Aptos" w:hAnsi="Aptos"/>
          <w:b w:val="0"/>
          <w:color w:val="111111"/>
          <w:sz w:val="18"/>
        </w:rPr>
        <w:t>ASSET_RETURNED_TO_PRODUCTIVE_USE</w:t>
      </w:r>
    </w:p>
    <w:tbl>
      <w:tblPr>
        <w:tblW w:type="auto" w:w="0"/>
        <w:jc w:val="center"/>
        <w:tblLayout w:type="fixed"/>
        <w:tblLook w:firstColumn="1" w:firstRow="1" w:lastColumn="0" w:lastRow="0" w:noHBand="0" w:noVBand="1" w:val="04A0"/>
      </w:tblPr>
      <w:tblGrid>
        <w:gridCol w:w="10166"/>
      </w:tblGrid>
      <w:tr>
        <w:tc>
          <w:tcPr>
            <w:tcW w:type="dxa" w:w="10166"/>
            <w:shd w:fill="F2F6F8"/>
            <w:tcMar>
              <w:top w:w="120" w:type="dxa"/>
              <w:start w:w="140" w:type="dxa"/>
              <w:bottom w:w="120" w:type="dxa"/>
              <w:end w:w="140" w:type="dxa"/>
            </w:tcMar>
            <w:tcBorders>
              <w:top w:val="single" w:sz="8" w:color="C99B3A"/>
              <w:left w:val="single" w:sz="8" w:color="C99B3A"/>
              <w:bottom w:val="single" w:sz="8" w:color="C99B3A"/>
              <w:right w:val="single" w:sz="8" w:color="C99B3A"/>
            </w:tcBorders>
          </w:tcPr>
          <w:p>
            <w:pPr>
              <w:spacing w:after="60"/>
            </w:pPr>
            <w:r>
              <w:rPr>
                <w:rFonts w:ascii="Aptos Display" w:hAnsi="Aptos Display"/>
                <w:b/>
                <w:color w:val="0C2230"/>
                <w:sz w:val="22"/>
              </w:rPr>
              <w:t>WHY THIS MATTERS</w:t>
            </w:r>
          </w:p>
          <w:p>
            <w:pPr>
              <w:spacing w:after="0" w:line="252" w:lineRule="auto"/>
            </w:pPr>
            <w:r>
              <w:rPr>
                <w:rFonts w:ascii="Aptos" w:hAnsi="Aptos"/>
                <w:b w:val="0"/>
                <w:color w:val="111111"/>
                <w:sz w:val="18"/>
              </w:rPr>
              <w:t>Economic intelligence can be grounded in actual asset-state changes while private M5POD evidence remains private. The public layer should see provenance-aware signals and aggregates, not private title files, credentials or secrets.</w:t>
            </w:r>
          </w:p>
        </w:tc>
      </w:tr>
    </w:tbl>
    <w:p>
      <w:pPr>
        <w:spacing w:after="0"/>
      </w:pPr>
    </w:p>
    <w:p>
      <w:pPr>
        <w:spacing w:before="160" w:after="40"/>
      </w:pPr>
      <w:r>
        <w:rPr>
          <w:rFonts w:ascii="Aptos" w:hAnsi="Aptos"/>
          <w:b/>
          <w:color w:val="C99B3A"/>
          <w:sz w:val="17"/>
        </w:rPr>
        <w:t>11</w:t>
      </w:r>
    </w:p>
    <w:p>
      <w:pPr>
        <w:spacing w:after="80"/>
      </w:pPr>
      <w:r>
        <w:rPr>
          <w:rFonts w:ascii="Aptos Display" w:hAnsi="Aptos Display"/>
          <w:b/>
          <w:color w:val="0C2230"/>
          <w:sz w:val="48"/>
        </w:rPr>
        <w:t>Methodology, Evidence, and Contribution Rules</w:t>
      </w:r>
    </w:p>
    <w:p>
      <w:pPr>
        <w:spacing w:after="200"/>
      </w:pPr>
      <w:r>
        <w:rPr>
          <w:rFonts w:ascii="Aptos" w:hAnsi="Aptos"/>
          <w:b w:val="0"/>
          <w:color w:val="5F6B72"/>
          <w:sz w:val="21"/>
        </w:rPr>
        <w:t>Open research that preserves uncertainty instead of hiding it</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p>
      <w:pPr>
        <w:pStyle w:val="ListBullet"/>
        <w:spacing w:after="60"/>
      </w:pPr>
      <w:r>
        <w:rPr>
          <w:rFonts w:ascii="Aptos" w:hAnsi="Aptos"/>
          <w:b w:val="0"/>
          <w:color w:val="111111"/>
          <w:sz w:val="18"/>
        </w:rPr>
        <w:t>Evidence before inference: verify a record when it can be verified.</w:t>
      </w:r>
    </w:p>
    <w:p>
      <w:pPr>
        <w:pStyle w:val="ListBullet"/>
        <w:spacing w:after="60"/>
      </w:pPr>
      <w:r>
        <w:rPr>
          <w:rFonts w:ascii="Aptos" w:hAnsi="Aptos"/>
          <w:b w:val="0"/>
          <w:color w:val="111111"/>
          <w:sz w:val="18"/>
        </w:rPr>
        <w:t>State before scoring: do not score an asset until the known state is represented.</w:t>
      </w:r>
    </w:p>
    <w:p>
      <w:pPr>
        <w:pStyle w:val="ListBullet"/>
        <w:spacing w:after="60"/>
      </w:pPr>
      <w:r>
        <w:rPr>
          <w:rFonts w:ascii="Aptos" w:hAnsi="Aptos"/>
          <w:b w:val="0"/>
          <w:color w:val="111111"/>
          <w:sz w:val="18"/>
        </w:rPr>
        <w:t>Provenance before automation: every consequential state needs evidence lineage.</w:t>
      </w:r>
    </w:p>
    <w:p>
      <w:pPr>
        <w:pStyle w:val="ListBullet"/>
        <w:spacing w:after="60"/>
      </w:pPr>
      <w:r>
        <w:rPr>
          <w:rFonts w:ascii="Aptos" w:hAnsi="Aptos"/>
          <w:b w:val="0"/>
          <w:color w:val="111111"/>
          <w:sz w:val="18"/>
        </w:rPr>
        <w:t>Authority before action: no score, model, agent or threat vector creates legal authority.</w:t>
      </w:r>
    </w:p>
    <w:p>
      <w:pPr>
        <w:pStyle w:val="ListBullet"/>
        <w:spacing w:after="60"/>
      </w:pPr>
      <w:r>
        <w:rPr>
          <w:rFonts w:ascii="Aptos" w:hAnsi="Aptos"/>
          <w:b w:val="0"/>
          <w:color w:val="111111"/>
          <w:sz w:val="18"/>
        </w:rPr>
        <w:t>Unknown means unknown: do not fill gaps with model confidence.</w:t>
      </w:r>
    </w:p>
    <w:p>
      <w:pPr>
        <w:pStyle w:val="ListBullet"/>
        <w:spacing w:after="60"/>
      </w:pPr>
      <w:r>
        <w:rPr>
          <w:rFonts w:ascii="Aptos" w:hAnsi="Aptos"/>
          <w:b w:val="0"/>
          <w:color w:val="111111"/>
          <w:sz w:val="18"/>
        </w:rPr>
        <w:t>Events, not overwrites: preserve historical states, corrections and superseded claims.</w:t>
      </w:r>
    </w:p>
    <w:p>
      <w:pPr>
        <w:pStyle w:val="ListBullet"/>
        <w:spacing w:after="60"/>
      </w:pPr>
      <w:r>
        <w:rPr>
          <w:rFonts w:ascii="Aptos" w:hAnsi="Aptos"/>
          <w:b w:val="0"/>
          <w:color w:val="111111"/>
          <w:sz w:val="18"/>
        </w:rPr>
        <w:t>Rights are separable: surface ownership does not imply control of every right.</w:t>
      </w:r>
    </w:p>
    <w:p>
      <w:pPr>
        <w:pStyle w:val="ListBullet"/>
        <w:spacing w:after="60"/>
      </w:pPr>
      <w:r>
        <w:rPr>
          <w:rFonts w:ascii="Aptos" w:hAnsi="Aptos"/>
          <w:b w:val="0"/>
          <w:color w:val="111111"/>
          <w:sz w:val="18"/>
        </w:rPr>
        <w:t>Obligations travel too: remediation, decommissioning, liens and successor liability must travel with the opportunity analysis.</w:t>
      </w:r>
    </w:p>
    <w:p>
      <w:pPr>
        <w:pStyle w:val="ListBullet"/>
        <w:spacing w:after="60"/>
      </w:pPr>
      <w:r>
        <w:rPr>
          <w:rFonts w:ascii="Aptos" w:hAnsi="Aptos"/>
          <w:b w:val="0"/>
          <w:color w:val="111111"/>
          <w:sz w:val="18"/>
        </w:rPr>
        <w:t>Public/private separation: private M5POD evidence stays outside the public Commons.</w:t>
      </w:r>
    </w:p>
    <w:p>
      <w:pPr>
        <w:spacing w:before="120" w:after="60"/>
      </w:pPr>
      <w:r>
        <w:rPr>
          <w:rFonts w:ascii="Aptos" w:hAnsi="Aptos"/>
          <w:b/>
          <w:color w:val="0C2230"/>
          <w:sz w:val="22"/>
        </w:rPr>
        <w:t>Evidence states</w:t>
      </w:r>
    </w:p>
    <w:p>
      <w:pPr>
        <w:jc w:val="center"/>
      </w:pPr>
      <w:r>
        <w:rPr>
          <w:rFonts w:ascii="Aptos" w:hAnsi="Aptos"/>
          <w:b/>
          <w:color w:val="C99B3A"/>
          <w:sz w:val="18"/>
        </w:rPr>
        <w:t>SUBMITTED  →  SOURCE_VERIFIED  →  CORROBORATED  →  CANONICAL   |   DISPUTED / UNRESOLVED / REJECTED / CORRECTED / SUPERSEDED</w:t>
      </w:r>
    </w:p>
    <w:p>
      <w:pPr>
        <w:spacing w:before="160" w:after="60"/>
      </w:pPr>
      <w:r>
        <w:rPr>
          <w:rFonts w:ascii="Aptos" w:hAnsi="Aptos"/>
          <w:b/>
          <w:color w:val="0C2230"/>
          <w:sz w:val="22"/>
        </w:rPr>
        <w:t>Build the public knowledge commons</w:t>
      </w:r>
    </w:p>
    <w:p>
      <w:pPr>
        <w:pStyle w:val="ListBullet"/>
        <w:spacing w:after="60"/>
      </w:pPr>
      <w:r>
        <w:rPr>
          <w:rFonts w:ascii="Aptos" w:hAnsi="Aptos"/>
          <w:b w:val="0"/>
          <w:color w:val="111111"/>
          <w:sz w:val="18"/>
        </w:rPr>
        <w:t>Inspect it.</w:t>
      </w:r>
    </w:p>
    <w:p>
      <w:pPr>
        <w:pStyle w:val="ListBullet"/>
        <w:spacing w:after="60"/>
      </w:pPr>
      <w:r>
        <w:rPr>
          <w:rFonts w:ascii="Aptos" w:hAnsi="Aptos"/>
          <w:b w:val="0"/>
          <w:color w:val="111111"/>
          <w:sz w:val="18"/>
        </w:rPr>
        <w:t>Challenge it.</w:t>
      </w:r>
    </w:p>
    <w:p>
      <w:pPr>
        <w:pStyle w:val="ListBullet"/>
        <w:spacing w:after="60"/>
      </w:pPr>
      <w:r>
        <w:rPr>
          <w:rFonts w:ascii="Aptos" w:hAnsi="Aptos"/>
          <w:b w:val="0"/>
          <w:color w:val="111111"/>
          <w:sz w:val="18"/>
        </w:rPr>
        <w:t>Add evidence.</w:t>
      </w:r>
    </w:p>
    <w:p>
      <w:pPr>
        <w:pStyle w:val="ListBullet"/>
        <w:spacing w:after="60"/>
      </w:pPr>
      <w:r>
        <w:rPr>
          <w:rFonts w:ascii="Aptos" w:hAnsi="Aptos"/>
          <w:b w:val="0"/>
          <w:color w:val="111111"/>
          <w:sz w:val="18"/>
        </w:rPr>
        <w:t>Resolve an owner.</w:t>
      </w:r>
    </w:p>
    <w:p>
      <w:pPr>
        <w:pStyle w:val="ListBullet"/>
        <w:spacing w:after="60"/>
      </w:pPr>
      <w:r>
        <w:rPr>
          <w:rFonts w:ascii="Aptos" w:hAnsi="Aptos"/>
          <w:b w:val="0"/>
          <w:color w:val="111111"/>
          <w:sz w:val="18"/>
        </w:rPr>
        <w:t>Trace a lender.</w:t>
      </w:r>
    </w:p>
    <w:p>
      <w:pPr>
        <w:pStyle w:val="ListBullet"/>
        <w:spacing w:after="60"/>
      </w:pPr>
      <w:r>
        <w:rPr>
          <w:rFonts w:ascii="Aptos" w:hAnsi="Aptos"/>
          <w:b w:val="0"/>
          <w:color w:val="111111"/>
          <w:sz w:val="18"/>
        </w:rPr>
        <w:t>Follow a deed.</w:t>
      </w:r>
    </w:p>
    <w:p>
      <w:pPr>
        <w:pStyle w:val="ListBullet"/>
        <w:spacing w:after="60"/>
      </w:pPr>
      <w:r>
        <w:rPr>
          <w:rFonts w:ascii="Aptos" w:hAnsi="Aptos"/>
          <w:b w:val="0"/>
          <w:color w:val="111111"/>
          <w:sz w:val="18"/>
        </w:rPr>
        <w:t>Map a threat.</w:t>
      </w:r>
    </w:p>
    <w:p>
      <w:pPr>
        <w:pStyle w:val="ListBullet"/>
        <w:spacing w:after="60"/>
      </w:pPr>
      <w:r>
        <w:rPr>
          <w:rFonts w:ascii="Aptos" w:hAnsi="Aptos"/>
          <w:b w:val="0"/>
          <w:color w:val="111111"/>
          <w:sz w:val="18"/>
        </w:rPr>
        <w:t>Correct the record.</w:t>
      </w:r>
    </w:p>
    <w:p>
      <w:pPr>
        <w:pStyle w:val="ListBullet"/>
        <w:spacing w:after="60"/>
      </w:pPr>
      <w:r>
        <w:rPr>
          <w:rFonts w:ascii="Aptos" w:hAnsi="Aptos"/>
          <w:b w:val="0"/>
          <w:color w:val="111111"/>
          <w:sz w:val="18"/>
        </w:rPr>
        <w:t>Download the data.</w:t>
      </w:r>
    </w:p>
    <w:p>
      <w:pPr>
        <w:pStyle w:val="ListBullet"/>
        <w:spacing w:after="60"/>
      </w:pPr>
      <w:r>
        <w:rPr>
          <w:rFonts w:ascii="Aptos" w:hAnsi="Aptos"/>
          <w:b w:val="0"/>
          <w:color w:val="111111"/>
          <w:sz w:val="18"/>
        </w:rPr>
        <w:t>Build from it.</w:t>
      </w:r>
    </w:p>
    <w:p>
      <w:pPr>
        <w:pStyle w:val="ListBullet"/>
        <w:spacing w:after="60"/>
      </w:pPr>
      <w:r>
        <w:rPr>
          <w:rFonts w:ascii="Aptos" w:hAnsi="Aptos"/>
          <w:b w:val="0"/>
          <w:color w:val="111111"/>
          <w:sz w:val="18"/>
        </w:rPr>
        <w:t>Nominate an asset.</w:t>
      </w:r>
    </w:p>
    <w:p>
      <w:pPr>
        <w:sectPr>
          <w:headerReference w:type="default" r:id="rId10"/>
          <w:footerReference w:type="default" r:id="rId11"/>
          <w:pgSz w:w="12240" w:h="15840"/>
          <w:pgMar w:top="936" w:right="1037" w:bottom="1008" w:left="1037" w:header="360" w:footer="360" w:gutter="0"/>
          <w:cols w:space="720"/>
          <w:docGrid w:linePitch="360"/>
        </w:sectPr>
      </w:pPr>
    </w:p>
    <w:p>
      <w:pPr>
        <w:spacing w:before="160" w:after="40"/>
      </w:pPr>
      <w:r>
        <w:rPr>
          <w:rFonts w:ascii="Aptos" w:hAnsi="Aptos"/>
          <w:b/>
          <w:color w:val="C99B3A"/>
          <w:sz w:val="17"/>
        </w:rPr>
        <w:t>APPENDIX A</w:t>
      </w:r>
    </w:p>
    <w:p>
      <w:pPr>
        <w:spacing w:after="80"/>
      </w:pPr>
      <w:r>
        <w:rPr>
          <w:rFonts w:ascii="Aptos Display" w:hAnsi="Aptos Display"/>
          <w:b/>
          <w:color w:val="0C2230"/>
          <w:sz w:val="48"/>
        </w:rPr>
        <w:t>All Featured Properties</w:t>
      </w:r>
    </w:p>
    <w:p>
      <w:pPr>
        <w:spacing w:after="200"/>
      </w:pPr>
      <w:r>
        <w:rPr>
          <w:rFonts w:ascii="Aptos" w:hAnsi="Aptos"/>
          <w:b w:val="0"/>
          <w:color w:val="5F6B72"/>
          <w:sz w:val="21"/>
        </w:rPr>
        <w:t>Seed dataset - 36 working records</w:t>
      </w:r>
    </w:p>
    <w:tbl>
      <w:tblPr>
        <w:tblW w:type="auto" w:w="0"/>
        <w:jc w:val="left"/>
        <w:tblLayout w:type="fixed"/>
        <w:tblLook w:firstColumn="1" w:firstRow="1" w:lastColumn="0" w:lastRow="0" w:noHBand="0" w:noVBand="1" w:val="04A0"/>
      </w:tblPr>
      <w:tblGrid>
        <w:gridCol w:w="1512"/>
        <w:gridCol w:w="8496"/>
      </w:tblGrid>
      <w:tr>
        <w:tc>
          <w:tcPr>
            <w:tcW w:type="dxa" w:w="7272"/>
            <w:shd w:fill="C99B3A"/>
          </w:tcPr>
          <w:p>
            <w:pPr>
              <w:spacing w:after="0"/>
            </w:pPr>
          </w:p>
        </w:tc>
        <w:tc>
          <w:tcPr>
            <w:tcW w:type="dxa" w:w="7272"/>
            <w:shd w:fill="DDE5E8"/>
          </w:tcPr>
          <w:p>
            <w:pPr>
              <w:spacing w:after="0"/>
            </w:pPr>
          </w:p>
        </w:tc>
      </w:tr>
    </w:tbl>
    <w:p>
      <w:pPr>
        <w:spacing w:after="20"/>
      </w:pPr>
    </w:p>
    <w:tbl>
      <w:tblPr>
        <w:tblW w:type="auto" w:w="0"/>
        <w:jc w:val="center"/>
        <w:tblLayout w:type="fixed"/>
        <w:tblLook w:firstColumn="1" w:firstRow="1" w:lastColumn="0" w:lastRow="0" w:noHBand="0" w:noVBand="1" w:val="04A0"/>
      </w:tblPr>
      <w:tblGrid>
        <w:gridCol w:w="835"/>
        <w:gridCol w:w="1944"/>
        <w:gridCol w:w="1224"/>
        <w:gridCol w:w="547"/>
        <w:gridCol w:w="1123"/>
        <w:gridCol w:w="1195"/>
        <w:gridCol w:w="1037"/>
        <w:gridCol w:w="1800"/>
        <w:gridCol w:w="1080"/>
        <w:gridCol w:w="936"/>
        <w:gridCol w:w="1037"/>
        <w:gridCol w:w="1930"/>
      </w:tblGrid>
      <w:tr>
        <w:trPr>
          <w:tblHeader w:val="true"/>
        </w:trPr>
        <w:tc>
          <w:tcPr>
            <w:tcW w:type="dxa" w:w="1212"/>
            <w:shd w:fill="0C2230"/>
            <w:tcMar>
              <w:top w:w="45" w:type="dxa"/>
              <w:start w:w="40" w:type="dxa"/>
              <w:bottom w:w="45" w:type="dxa"/>
              <w:end w:w="40" w:type="dxa"/>
            </w:tcMar>
          </w:tcPr>
          <w:p>
            <w:pPr>
              <w:jc w:val="center"/>
            </w:pPr>
            <w:r>
              <w:rPr>
                <w:rFonts w:ascii="Aptos" w:hAnsi="Aptos"/>
                <w:b/>
                <w:color w:val="FFFFFF"/>
                <w:sz w:val="13"/>
              </w:rPr>
              <w:t>ID</w:t>
            </w:r>
          </w:p>
        </w:tc>
        <w:tc>
          <w:tcPr>
            <w:tcW w:type="dxa" w:w="1212"/>
            <w:shd w:fill="0C2230"/>
            <w:tcMar>
              <w:top w:w="45" w:type="dxa"/>
              <w:start w:w="40" w:type="dxa"/>
              <w:bottom w:w="45" w:type="dxa"/>
              <w:end w:w="40" w:type="dxa"/>
            </w:tcMar>
          </w:tcPr>
          <w:p>
            <w:pPr>
              <w:jc w:val="center"/>
            </w:pPr>
            <w:r>
              <w:rPr>
                <w:rFonts w:ascii="Aptos" w:hAnsi="Aptos"/>
                <w:b/>
                <w:color w:val="FFFFFF"/>
                <w:sz w:val="13"/>
              </w:rPr>
              <w:t>Property</w:t>
            </w:r>
          </w:p>
        </w:tc>
        <w:tc>
          <w:tcPr>
            <w:tcW w:type="dxa" w:w="1212"/>
            <w:shd w:fill="0C2230"/>
            <w:tcMar>
              <w:top w:w="45" w:type="dxa"/>
              <w:start w:w="40" w:type="dxa"/>
              <w:bottom w:w="45" w:type="dxa"/>
              <w:end w:w="40" w:type="dxa"/>
            </w:tcMar>
          </w:tcPr>
          <w:p>
            <w:pPr>
              <w:jc w:val="center"/>
            </w:pPr>
            <w:r>
              <w:rPr>
                <w:rFonts w:ascii="Aptos" w:hAnsi="Aptos"/>
                <w:b/>
                <w:color w:val="FFFFFF"/>
                <w:sz w:val="13"/>
              </w:rPr>
              <w:t>City</w:t>
            </w:r>
          </w:p>
        </w:tc>
        <w:tc>
          <w:tcPr>
            <w:tcW w:type="dxa" w:w="1212"/>
            <w:shd w:fill="0C2230"/>
            <w:tcMar>
              <w:top w:w="45" w:type="dxa"/>
              <w:start w:w="40" w:type="dxa"/>
              <w:bottom w:w="45" w:type="dxa"/>
              <w:end w:w="40" w:type="dxa"/>
            </w:tcMar>
          </w:tcPr>
          <w:p>
            <w:pPr>
              <w:jc w:val="center"/>
            </w:pPr>
            <w:r>
              <w:rPr>
                <w:rFonts w:ascii="Aptos" w:hAnsi="Aptos"/>
                <w:b/>
                <w:color w:val="FFFFFF"/>
                <w:sz w:val="13"/>
              </w:rPr>
              <w:t>ST</w:t>
            </w:r>
          </w:p>
        </w:tc>
        <w:tc>
          <w:tcPr>
            <w:tcW w:type="dxa" w:w="1212"/>
            <w:shd w:fill="0C2230"/>
            <w:tcMar>
              <w:top w:w="45" w:type="dxa"/>
              <w:start w:w="40" w:type="dxa"/>
              <w:bottom w:w="45" w:type="dxa"/>
              <w:end w:w="40" w:type="dxa"/>
            </w:tcMar>
          </w:tcPr>
          <w:p>
            <w:pPr>
              <w:jc w:val="center"/>
            </w:pPr>
            <w:r>
              <w:rPr>
                <w:rFonts w:ascii="Aptos" w:hAnsi="Aptos"/>
                <w:b/>
                <w:color w:val="FFFFFF"/>
                <w:sz w:val="13"/>
              </w:rPr>
              <w:t>P-State</w:t>
            </w:r>
          </w:p>
        </w:tc>
        <w:tc>
          <w:tcPr>
            <w:tcW w:type="dxa" w:w="1212"/>
            <w:shd w:fill="0C2230"/>
            <w:tcMar>
              <w:top w:w="45" w:type="dxa"/>
              <w:start w:w="40" w:type="dxa"/>
              <w:bottom w:w="45" w:type="dxa"/>
              <w:end w:w="40" w:type="dxa"/>
            </w:tcMar>
          </w:tcPr>
          <w:p>
            <w:pPr>
              <w:jc w:val="center"/>
            </w:pPr>
            <w:r>
              <w:rPr>
                <w:rFonts w:ascii="Aptos" w:hAnsi="Aptos"/>
                <w:b/>
                <w:color w:val="FFFFFF"/>
                <w:sz w:val="13"/>
              </w:rPr>
              <w:t>O-State</w:t>
            </w:r>
          </w:p>
        </w:tc>
        <w:tc>
          <w:tcPr>
            <w:tcW w:type="dxa" w:w="1212"/>
            <w:shd w:fill="0C2230"/>
            <w:tcMar>
              <w:top w:w="45" w:type="dxa"/>
              <w:start w:w="40" w:type="dxa"/>
              <w:bottom w:w="45" w:type="dxa"/>
              <w:end w:w="40" w:type="dxa"/>
            </w:tcMar>
          </w:tcPr>
          <w:p>
            <w:pPr>
              <w:jc w:val="center"/>
            </w:pPr>
            <w:r>
              <w:rPr>
                <w:rFonts w:ascii="Aptos" w:hAnsi="Aptos"/>
                <w:b/>
                <w:color w:val="FFFFFF"/>
                <w:sz w:val="13"/>
              </w:rPr>
              <w:t>Price</w:t>
            </w:r>
          </w:p>
        </w:tc>
        <w:tc>
          <w:tcPr>
            <w:tcW w:type="dxa" w:w="1212"/>
            <w:shd w:fill="0C2230"/>
            <w:tcMar>
              <w:top w:w="45" w:type="dxa"/>
              <w:start w:w="40" w:type="dxa"/>
              <w:bottom w:w="45" w:type="dxa"/>
              <w:end w:w="40" w:type="dxa"/>
            </w:tcMar>
          </w:tcPr>
          <w:p>
            <w:pPr>
              <w:jc w:val="center"/>
            </w:pPr>
            <w:r>
              <w:rPr>
                <w:rFonts w:ascii="Aptos" w:hAnsi="Aptos"/>
                <w:b/>
                <w:color w:val="FFFFFF"/>
                <w:sz w:val="13"/>
              </w:rPr>
              <w:t>Buyer / Grantee</w:t>
            </w:r>
          </w:p>
        </w:tc>
        <w:tc>
          <w:tcPr>
            <w:tcW w:type="dxa" w:w="1212"/>
            <w:shd w:fill="0C2230"/>
            <w:tcMar>
              <w:top w:w="45" w:type="dxa"/>
              <w:start w:w="40" w:type="dxa"/>
              <w:bottom w:w="45" w:type="dxa"/>
              <w:end w:w="40" w:type="dxa"/>
            </w:tcMar>
          </w:tcPr>
          <w:p>
            <w:pPr>
              <w:jc w:val="center"/>
            </w:pPr>
            <w:r>
              <w:rPr>
                <w:rFonts w:ascii="Aptos" w:hAnsi="Aptos"/>
                <w:b/>
                <w:color w:val="FFFFFF"/>
                <w:sz w:val="13"/>
              </w:rPr>
              <w:t>Type</w:t>
            </w:r>
          </w:p>
        </w:tc>
        <w:tc>
          <w:tcPr>
            <w:tcW w:type="dxa" w:w="1212"/>
            <w:shd w:fill="0C2230"/>
            <w:tcMar>
              <w:top w:w="45" w:type="dxa"/>
              <w:start w:w="40" w:type="dxa"/>
              <w:bottom w:w="45" w:type="dxa"/>
              <w:end w:w="40" w:type="dxa"/>
            </w:tcMar>
          </w:tcPr>
          <w:p>
            <w:pPr>
              <w:jc w:val="center"/>
            </w:pPr>
            <w:r>
              <w:rPr>
                <w:rFonts w:ascii="Aptos" w:hAnsi="Aptos"/>
                <w:b/>
                <w:color w:val="FFFFFF"/>
                <w:sz w:val="13"/>
              </w:rPr>
              <w:t>Priority</w:t>
            </w:r>
          </w:p>
        </w:tc>
        <w:tc>
          <w:tcPr>
            <w:tcW w:type="dxa" w:w="1212"/>
            <w:shd w:fill="0C2230"/>
            <w:tcMar>
              <w:top w:w="45" w:type="dxa"/>
              <w:start w:w="40" w:type="dxa"/>
              <w:bottom w:w="45" w:type="dxa"/>
              <w:end w:w="40" w:type="dxa"/>
            </w:tcMar>
          </w:tcPr>
          <w:p>
            <w:pPr>
              <w:jc w:val="center"/>
            </w:pPr>
            <w:r>
              <w:rPr>
                <w:rFonts w:ascii="Aptos" w:hAnsi="Aptos"/>
                <w:b/>
                <w:color w:val="FFFFFF"/>
                <w:sz w:val="13"/>
              </w:rPr>
              <w:t>Evidence</w:t>
            </w:r>
          </w:p>
        </w:tc>
        <w:tc>
          <w:tcPr>
            <w:tcW w:type="dxa" w:w="1212"/>
            <w:shd w:fill="0C2230"/>
            <w:tcMar>
              <w:top w:w="45" w:type="dxa"/>
              <w:start w:w="40" w:type="dxa"/>
              <w:bottom w:w="45" w:type="dxa"/>
              <w:end w:w="40" w:type="dxa"/>
            </w:tcMar>
          </w:tcPr>
          <w:p>
            <w:pPr>
              <w:jc w:val="center"/>
            </w:pPr>
            <w:r>
              <w:rPr>
                <w:rFonts w:ascii="Aptos" w:hAnsi="Aptos"/>
                <w:b/>
                <w:color w:val="FFFFFF"/>
                <w:sz w:val="13"/>
              </w:rPr>
              <w:t>Open research</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SHD-001</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Former USGS / Rockaway Grove</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Menlo Park</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CA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$137.00M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USGS Menlo Park LLC</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DEVELOPER</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Capture recorded deed, acquisition lender, ultimate capital source</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SHD-002</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GSA Regional Office Building</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Washington</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DC</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$24.26M</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Dalian Development affiliate</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FAMILY_OFFICE</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Resolve exact grantee, acquisition lender, capital stack</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SHD-003</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Old Post Office</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Washington</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DC</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$80.00M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Affiliate of BDT &amp; MSD Partners / existing leaseholder</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PRIVATE_EQUITY</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exact acquisition entity, financing, leasehold vs title interests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SHD-004</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Liberty Loan Building</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Washington</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DC</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O4 LENDER_IDENTIFIED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$17.00M</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401 14 ST SW 2025 LLC</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LOCAL_PRIVATE</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Capture deed; confirm OakNorth debt terms and ultimate equity capital</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SHD-005</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Gus J. Solomon U.S. Courthouse</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Portland</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OR</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$1.80M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ScanlanKemperBard (SKB)</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PRIVATE_EQUITY</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exact grantee, lender, redevelopment plan</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SHD-006</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Historic U.S. Courthouse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Des Moines</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IA</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O2 PRINCIPALS_IDENTIFIED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$2.60M</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123 E Walnut LLC</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LOCAL_PRIVATE</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Do not infer VC fund money; resolve acquisition capital and lender</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SHD-007</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Twin Cities Army Ammunition Plant parcel</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Arden Hills</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MN</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$3.58M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Maplewood Development</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DEVELOPER</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parcel/deed, environmental history, acquisition lender</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SHD-008</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Former Madawaska Land Port of Entry</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Madawaska</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ME</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O2 PRINCIPALS_IDENTIFIED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$173K</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63 Bridge St LLC</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LOCAL_PRIVATE</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Document crowdfunding/equity structure and any lender</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SHD-009</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Big Spring mineral acres</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Big Spring</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$3.90M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Pransh Minerals LLC</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LOCAL_PRIVATE</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Obtain deed/assignment image; identify exact mineral interests, burdens and operator rights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SHD-010</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Chet Holifield Federal Building / Ziggurat</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Laguna Niguel</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CA</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$207.00M</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Laguna Ridge Health Care Development LLC</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NONPROFIT</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Capture deed, restrictions, environmental obligations and exact consideration above $207M floor</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SHD-011</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Kefauver Federal Building site</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Nashville</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TN</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$52.03M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Nashville Convention Center Authority</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PUBLIC</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Capture deed and public-use restrictions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SHD-012</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Federal Building West + parking parcels</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San Antonio</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$30.00M</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City of San Antonio</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PUBLIC</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Capture deed, sale-leaseback obligations and parcel-level records</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SHD-013</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Former DOL property / Texas State transfer</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San Marcos</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$1.68M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City of San Marcos / Texas State University</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PUBLIC</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parcel split, title path and use restrictions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SHD-014</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Phillips Memorial Army Reserve Center</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Silver City</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NM</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$340K</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Town of Silver City</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PUBLIC</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Capture deed, federal-use restrictions and environmental state</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SHD-015</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Federal Executive Institute campus</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Charlottesville</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VA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University of Virginia</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PUBLIC</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Capture conveyance instrument, consideration if any, reversion/public-benefit restrictions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SHD-016</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Huntsville Courthouse / Post Office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Huntsville</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AL</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City of Huntsville</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PUBLIC</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Capture conveyance instrument and restrictions</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SHD-017</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Former NCUA Office Condo — Building 5</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Austin</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$3.49M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Undisclosed in public auction interface</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Obtain Travis County deed; identify grantee, principals and lender</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SHD-018</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Former SSA Office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Racine</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WI</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O1 GRANTEE_IDENTIFIED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$625K</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RAMA LLC</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Resolve RAMA LLC beneficial owner; determine relationship, if any, to Bhupendra Patel / Parit Patel / Aura Senior Living</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SHD-019</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Former Coast Guard Housing</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Jonesport</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ME</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$1.18M</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deed/grantee, lender, restrictions, environmental/shoreline rights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SHD-020</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Former Atterbury Job Corps parcel</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Edinburgh / Nineveh</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IN</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$1.64M</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Resolve deed for parcel 41-11-26-014-002.000-020; buyer, lender, rights and environmental state</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SHD-021</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Former Hawkinsville Air Force Space Surveillance Station</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Hawkinsville</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GA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$730K</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CRITICAL</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buyer and deed; confirm ownership/transfer of water, mineral, oil/gas rights; environmental and decommissioning obligations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SHD-022</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FAA NDB Site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Helena / East Helena</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MT</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$625K</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Resolve deed/grantee, lender, easements and aviation-related restrictions</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SHD-023</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Former U.S. Army Reserve Center</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Washington</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IA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$610K</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June 2025 recorded owner for parcel 11-08-351-002; environmental state and lender</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SHD-024</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Agua Fria parcel</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Peoria</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AZ</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$425K</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Resolve deed/grantee, floodway restrictions, water/drainage rights and lender</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SHD-025</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Teeds Grove repeater site</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Teeds Grove</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IA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P6 CLOSED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$84K</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Undisclosed</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MEDIUM</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SUBMITTED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deed/grantee, easements, utilities and any communications infrastructure obligations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SHD-026</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Former Navy &amp; Marine Corps Reserve Center</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Grand Rapids</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MI</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P4 HIGH_BIDDER</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Morrison Industrial Equipment Co.</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LOCAL_PRIVATE</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Confirm federal acceptance, closing, deed and financing</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SHD-027</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Montpelier Federal Building</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Montpelier</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VT</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P4 HIGH_BIDDER</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O3 SPONSOR_IDENTIFIED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87 State Street Local Development Corporation</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NONPROFIT</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Track relisting/next disposition path; capture environmental obligations and federal valuation rationale</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SHD-028</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The Depot at Somerville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Hillsborough Township / Somerville</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NJ</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P5 UNDER_CONTRACT</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Undisclosed prospective buyer</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SPE_UNRESOLVED</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CRITICAL</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Resolve buyer immediately when award/closing records appear; identify lender and ultimate capital</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SHD-029</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Spring Street Courthouse</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Los Angeles</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CA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P2 MARKETED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CRITICAL</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Build complete TitleChain Asset State; parcel/title, restrictions, court occupancy, environmental, maintenance and disposition authority</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SHD-030</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Fort Worth Federal Center</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Fort Worth</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P2 MARKETED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TitleChain Asset State, environmental history, disposition path and public-benefit feasibility</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SHD-031</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Fritz G. Lanham Federal Building</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Fort Worth</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P1 REVIEW</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TitleChain Asset State, federal occupancy/relocation, environmental and capital requirements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SHD-032</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Federal Parking Garage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Fort Worth</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TX</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P1 REVIEW</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Determine whether garage transfers separately or as linked asset; title/air rights/development rights</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SHD-033</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Anthony J. Celebrezze Federal Building</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Cleveland</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OH</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P2 MARKETED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Build TitleChain Asset State, occupancy, title restrictions, redevelopment feasibility and capital requirements</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SHD-034</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Goodfellow Federal Facility</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St. Louis</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MO</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P2 MARKETED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CRITICAL</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Environmental/specialized facility obligations, title, utilities, hazardous materials, public-benefit feasibility</w:t>
            </w:r>
          </w:p>
        </w:tc>
      </w:tr>
      <w:tr>
        <w:trPr>
          <w:trHeight w:hRule="atLeast"/>
        </w:trPr>
        <w:tc>
          <w:tcPr>
            <w:tcW w:type="dxa" w:w="835"/>
            <w:shd w:fill="FBFCFD"/>
            <w:tcMar>
              <w:top w:w="35" w:type="dxa"/>
              <w:start w:w="40" w:type="dxa"/>
              <w:bottom w:w="35" w:type="dxa"/>
              <w:end w:w="40" w:type="dxa"/>
            </w:tcMar>
            <w:vAlign w:val="top"/>
          </w:tcPr>
          <w:p>
            <w:pPr>
              <w:spacing w:after="0"/>
            </w:pPr>
            <w:r>
              <w:rPr>
                <w:rFonts w:ascii="Aptos" w:hAnsi="Aptos"/>
                <w:b/>
                <w:color w:val="0C2230"/>
                <w:sz w:val="12"/>
              </w:rPr>
              <w:t>SHD-035</w:t>
            </w:r>
          </w:p>
        </w:tc>
        <w:tc>
          <w:tcPr>
            <w:tcW w:type="dxa" w:w="1944"/>
            <w:shd w:fill="FBFCFD"/>
            <w:tcMar>
              <w:top w:w="35" w:type="dxa"/>
              <w:start w:w="40" w:type="dxa"/>
              <w:bottom w:w="35" w:type="dxa"/>
              <w:end w:w="40" w:type="dxa"/>
            </w:tcMar>
            <w:vAlign w:val="top"/>
          </w:tcPr>
          <w:p>
            <w:pPr>
              <w:spacing w:after="0"/>
            </w:pPr>
            <w:r>
              <w:rPr>
                <w:rFonts w:ascii="Aptos" w:hAnsi="Aptos"/>
                <w:b/>
                <w:color w:val="0C2230"/>
                <w:sz w:val="12"/>
              </w:rPr>
              <w:t>Federal Center South — disposition portion</w:t>
            </w:r>
          </w:p>
        </w:tc>
        <w:tc>
          <w:tcPr>
            <w:tcW w:type="dxa" w:w="1224"/>
            <w:shd w:fill="FBFCFD"/>
            <w:tcMar>
              <w:top w:w="35" w:type="dxa"/>
              <w:start w:w="40" w:type="dxa"/>
              <w:bottom w:w="35" w:type="dxa"/>
              <w:end w:w="40" w:type="dxa"/>
            </w:tcMar>
            <w:vAlign w:val="top"/>
          </w:tcPr>
          <w:p>
            <w:pPr>
              <w:spacing w:after="0"/>
            </w:pPr>
            <w:r>
              <w:rPr>
                <w:rFonts w:ascii="Aptos" w:hAnsi="Aptos"/>
                <w:b w:val="0"/>
                <w:color w:val="111111"/>
                <w:sz w:val="12"/>
              </w:rPr>
              <w:t>Seattle</w:t>
            </w:r>
          </w:p>
        </w:tc>
        <w:tc>
          <w:tcPr>
            <w:tcW w:type="dxa" w:w="547"/>
            <w:shd w:fill="FBFCFD"/>
            <w:tcMar>
              <w:top w:w="35" w:type="dxa"/>
              <w:start w:w="40" w:type="dxa"/>
              <w:bottom w:w="35" w:type="dxa"/>
              <w:end w:w="40" w:type="dxa"/>
            </w:tcMar>
            <w:vAlign w:val="top"/>
          </w:tcPr>
          <w:p>
            <w:pPr>
              <w:spacing w:after="0"/>
              <w:jc w:val="center"/>
            </w:pPr>
            <w:r>
              <w:rPr>
                <w:rFonts w:ascii="Aptos" w:hAnsi="Aptos"/>
                <w:b w:val="0"/>
                <w:color w:val="111111"/>
                <w:sz w:val="12"/>
              </w:rPr>
              <w:t>WA</w:t>
            </w:r>
          </w:p>
        </w:tc>
        <w:tc>
          <w:tcPr>
            <w:tcW w:type="dxa" w:w="1123"/>
            <w:shd w:fill="FBFCFD"/>
            <w:tcMar>
              <w:top w:w="35" w:type="dxa"/>
              <w:start w:w="40" w:type="dxa"/>
              <w:bottom w:w="35" w:type="dxa"/>
              <w:end w:w="40" w:type="dxa"/>
            </w:tcMar>
            <w:vAlign w:val="top"/>
          </w:tcPr>
          <w:p>
            <w:pPr>
              <w:spacing w:after="0"/>
            </w:pPr>
            <w:r>
              <w:rPr>
                <w:rFonts w:ascii="Aptos" w:hAnsi="Aptos"/>
                <w:b w:val="0"/>
                <w:color w:val="111111"/>
                <w:sz w:val="12"/>
              </w:rPr>
              <w:t>P2 MARKETED</w:t>
            </w:r>
          </w:p>
        </w:tc>
        <w:tc>
          <w:tcPr>
            <w:tcW w:type="dxa" w:w="1195"/>
            <w:shd w:fill="FBFCFD"/>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FBFCFD"/>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FBFCFD"/>
            <w:tcMar>
              <w:top w:w="35" w:type="dxa"/>
              <w:start w:w="40" w:type="dxa"/>
              <w:bottom w:w="35" w:type="dxa"/>
              <w:end w:w="40" w:type="dxa"/>
            </w:tcMar>
            <w:vAlign w:val="top"/>
          </w:tcPr>
          <w:p>
            <w:pPr>
              <w:spacing w:after="0"/>
              <w:jc w:val="center"/>
            </w:pPr>
            <w:r>
              <w:rPr>
                <w:rFonts w:ascii="Aptos" w:hAnsi="Aptos"/>
                <w:b w:val="0"/>
                <w:color w:val="111111"/>
                <w:sz w:val="12"/>
              </w:rPr>
              <w:t>VERY HIGH</w:t>
            </w:r>
          </w:p>
        </w:tc>
        <w:tc>
          <w:tcPr>
            <w:tcW w:type="dxa" w:w="1037"/>
            <w:shd w:fill="FBFCFD"/>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FBFCFD"/>
            <w:tcMar>
              <w:top w:w="35" w:type="dxa"/>
              <w:start w:w="40" w:type="dxa"/>
              <w:bottom w:w="35" w:type="dxa"/>
              <w:end w:w="40" w:type="dxa"/>
            </w:tcMar>
            <w:vAlign w:val="top"/>
          </w:tcPr>
          <w:p>
            <w:pPr>
              <w:spacing w:after="0"/>
            </w:pPr>
            <w:r>
              <w:rPr>
                <w:rFonts w:ascii="Aptos" w:hAnsi="Aptos"/>
                <w:b w:val="0"/>
                <w:color w:val="111111"/>
                <w:sz w:val="12"/>
              </w:rPr>
              <w:t>Resolve exact parcels/buildings, waterfront/industrial environmental state, easements and disposition structure</w:t>
            </w:r>
          </w:p>
        </w:tc>
      </w:tr>
      <w:tr>
        <w:trPr>
          <w:trHeight w:hRule="atLeast"/>
        </w:trPr>
        <w:tc>
          <w:tcPr>
            <w:tcW w:type="dxa" w:w="835"/>
            <w:shd w:fill="EEF3F5"/>
            <w:tcMar>
              <w:top w:w="35" w:type="dxa"/>
              <w:start w:w="40" w:type="dxa"/>
              <w:bottom w:w="35" w:type="dxa"/>
              <w:end w:w="40" w:type="dxa"/>
            </w:tcMar>
            <w:vAlign w:val="top"/>
          </w:tcPr>
          <w:p>
            <w:pPr>
              <w:spacing w:after="0"/>
            </w:pPr>
            <w:r>
              <w:rPr>
                <w:rFonts w:ascii="Aptos" w:hAnsi="Aptos"/>
                <w:b/>
                <w:color w:val="0C2230"/>
                <w:sz w:val="12"/>
              </w:rPr>
              <w:t>SHD-036</w:t>
            </w:r>
          </w:p>
        </w:tc>
        <w:tc>
          <w:tcPr>
            <w:tcW w:type="dxa" w:w="1944"/>
            <w:shd w:fill="EEF3F5"/>
            <w:tcMar>
              <w:top w:w="35" w:type="dxa"/>
              <w:start w:w="40" w:type="dxa"/>
              <w:bottom w:w="35" w:type="dxa"/>
              <w:end w:w="40" w:type="dxa"/>
            </w:tcMar>
            <w:vAlign w:val="top"/>
          </w:tcPr>
          <w:p>
            <w:pPr>
              <w:spacing w:after="0"/>
            </w:pPr>
            <w:r>
              <w:rPr>
                <w:rFonts w:ascii="Aptos" w:hAnsi="Aptos"/>
                <w:b/>
                <w:color w:val="0C2230"/>
                <w:sz w:val="12"/>
              </w:rPr>
              <w:t>Bozeman Federal Building and Post Office</w:t>
            </w:r>
          </w:p>
        </w:tc>
        <w:tc>
          <w:tcPr>
            <w:tcW w:type="dxa" w:w="1224"/>
            <w:shd w:fill="EEF3F5"/>
            <w:tcMar>
              <w:top w:w="35" w:type="dxa"/>
              <w:start w:w="40" w:type="dxa"/>
              <w:bottom w:w="35" w:type="dxa"/>
              <w:end w:w="40" w:type="dxa"/>
            </w:tcMar>
            <w:vAlign w:val="top"/>
          </w:tcPr>
          <w:p>
            <w:pPr>
              <w:spacing w:after="0"/>
            </w:pPr>
            <w:r>
              <w:rPr>
                <w:rFonts w:ascii="Aptos" w:hAnsi="Aptos"/>
                <w:b w:val="0"/>
                <w:color w:val="111111"/>
                <w:sz w:val="12"/>
              </w:rPr>
              <w:t>Bozeman</w:t>
            </w:r>
          </w:p>
        </w:tc>
        <w:tc>
          <w:tcPr>
            <w:tcW w:type="dxa" w:w="547"/>
            <w:shd w:fill="EEF3F5"/>
            <w:tcMar>
              <w:top w:w="35" w:type="dxa"/>
              <w:start w:w="40" w:type="dxa"/>
              <w:bottom w:w="35" w:type="dxa"/>
              <w:end w:w="40" w:type="dxa"/>
            </w:tcMar>
            <w:vAlign w:val="top"/>
          </w:tcPr>
          <w:p>
            <w:pPr>
              <w:spacing w:after="0"/>
              <w:jc w:val="center"/>
            </w:pPr>
            <w:r>
              <w:rPr>
                <w:rFonts w:ascii="Aptos" w:hAnsi="Aptos"/>
                <w:b w:val="0"/>
                <w:color w:val="111111"/>
                <w:sz w:val="12"/>
              </w:rPr>
              <w:t>MT</w:t>
            </w:r>
          </w:p>
        </w:tc>
        <w:tc>
          <w:tcPr>
            <w:tcW w:type="dxa" w:w="1123"/>
            <w:shd w:fill="EEF3F5"/>
            <w:tcMar>
              <w:top w:w="35" w:type="dxa"/>
              <w:start w:w="40" w:type="dxa"/>
              <w:bottom w:w="35" w:type="dxa"/>
              <w:end w:w="40" w:type="dxa"/>
            </w:tcMar>
            <w:vAlign w:val="top"/>
          </w:tcPr>
          <w:p>
            <w:pPr>
              <w:spacing w:after="0"/>
            </w:pPr>
            <w:r>
              <w:rPr>
                <w:rFonts w:ascii="Aptos" w:hAnsi="Aptos"/>
                <w:b w:val="0"/>
                <w:color w:val="111111"/>
                <w:sz w:val="12"/>
              </w:rPr>
              <w:t>P2 MARKETED</w:t>
            </w:r>
          </w:p>
        </w:tc>
        <w:tc>
          <w:tcPr>
            <w:tcW w:type="dxa" w:w="1195"/>
            <w:shd w:fill="EEF3F5"/>
            <w:tcMar>
              <w:top w:w="35" w:type="dxa"/>
              <w:start w:w="40" w:type="dxa"/>
              <w:bottom w:w="35" w:type="dxa"/>
              <w:end w:w="40" w:type="dxa"/>
            </w:tcMar>
            <w:vAlign w:val="top"/>
          </w:tcPr>
          <w:p>
            <w:pPr>
              <w:spacing w:after="0"/>
            </w:pPr>
            <w:r>
              <w:rPr>
                <w:rFonts w:ascii="Aptos" w:hAnsi="Aptos"/>
                <w:b w:val="0"/>
                <w:color w:val="111111"/>
                <w:sz w:val="12"/>
              </w:rPr>
              <w:t>O0 BUYER_UNDISCLOSED</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w:t>
            </w:r>
          </w:p>
        </w:tc>
        <w:tc>
          <w:tcPr>
            <w:tcW w:type="dxa" w:w="180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1080"/>
            <w:shd w:fill="EEF3F5"/>
            <w:tcMar>
              <w:top w:w="35" w:type="dxa"/>
              <w:start w:w="40" w:type="dxa"/>
              <w:bottom w:w="35" w:type="dxa"/>
              <w:end w:w="40" w:type="dxa"/>
            </w:tcMar>
            <w:vAlign w:val="top"/>
          </w:tcPr>
          <w:p>
            <w:pPr>
              <w:spacing w:after="0"/>
            </w:pPr>
            <w:r>
              <w:rPr>
                <w:rFonts w:ascii="Aptos" w:hAnsi="Aptos"/>
                <w:b w:val="0"/>
                <w:color w:val="111111"/>
                <w:sz w:val="12"/>
              </w:rPr>
              <w:t>—</w:t>
            </w:r>
          </w:p>
        </w:tc>
        <w:tc>
          <w:tcPr>
            <w:tcW w:type="dxa" w:w="936"/>
            <w:shd w:fill="EEF3F5"/>
            <w:tcMar>
              <w:top w:w="35" w:type="dxa"/>
              <w:start w:w="40" w:type="dxa"/>
              <w:bottom w:w="35" w:type="dxa"/>
              <w:end w:w="40" w:type="dxa"/>
            </w:tcMar>
            <w:vAlign w:val="top"/>
          </w:tcPr>
          <w:p>
            <w:pPr>
              <w:spacing w:after="0"/>
              <w:jc w:val="center"/>
            </w:pPr>
            <w:r>
              <w:rPr>
                <w:rFonts w:ascii="Aptos" w:hAnsi="Aptos"/>
                <w:b w:val="0"/>
                <w:color w:val="111111"/>
                <w:sz w:val="12"/>
              </w:rPr>
              <w:t>HIGH</w:t>
            </w:r>
          </w:p>
        </w:tc>
        <w:tc>
          <w:tcPr>
            <w:tcW w:type="dxa" w:w="1037"/>
            <w:shd w:fill="EEF3F5"/>
            <w:tcMar>
              <w:top w:w="35" w:type="dxa"/>
              <w:start w:w="40" w:type="dxa"/>
              <w:bottom w:w="35" w:type="dxa"/>
              <w:end w:w="40" w:type="dxa"/>
            </w:tcMar>
            <w:vAlign w:val="top"/>
          </w:tcPr>
          <w:p>
            <w:pPr>
              <w:spacing w:after="0"/>
              <w:jc w:val="center"/>
            </w:pPr>
            <w:r>
              <w:rPr>
                <w:rFonts w:ascii="Aptos" w:hAnsi="Aptos"/>
                <w:b w:val="0"/>
                <w:color w:val="111111"/>
                <w:sz w:val="12"/>
              </w:rPr>
              <w:t>SOURCE_VERIFIED</w:t>
            </w:r>
          </w:p>
        </w:tc>
        <w:tc>
          <w:tcPr>
            <w:tcW w:type="dxa" w:w="1930"/>
            <w:shd w:fill="EEF3F5"/>
            <w:tcMar>
              <w:top w:w="35" w:type="dxa"/>
              <w:start w:w="40" w:type="dxa"/>
              <w:bottom w:w="35" w:type="dxa"/>
              <w:end w:w="40" w:type="dxa"/>
            </w:tcMar>
            <w:vAlign w:val="top"/>
          </w:tcPr>
          <w:p>
            <w:pPr>
              <w:spacing w:after="0"/>
            </w:pPr>
            <w:r>
              <w:rPr>
                <w:rFonts w:ascii="Aptos" w:hAnsi="Aptos"/>
                <w:b w:val="0"/>
                <w:color w:val="111111"/>
                <w:sz w:val="12"/>
              </w:rPr>
              <w:t>Title restrictions, historic preservation obligations, postal/federal use and eventual buyer/capital</w:t>
            </w:r>
          </w:p>
        </w:tc>
      </w:tr>
    </w:tbl>
    <w:p>
      <w:pPr>
        <w:sectPr>
          <w:pgSz w:w="15840" w:h="12240" w:orient="landscape"/>
          <w:pgMar w:top="792" w:right="648" w:bottom="792" w:left="648" w:header="360" w:footer="360" w:gutter="0"/>
          <w:cols w:space="720"/>
          <w:docGrid w:linePitch="360"/>
        </w:sectPr>
      </w:pPr>
    </w:p>
    <w:p>
      <w:pPr>
        <w:spacing w:before="160" w:after="40"/>
      </w:pPr>
      <w:r>
        <w:rPr>
          <w:rFonts w:ascii="Aptos" w:hAnsi="Aptos"/>
          <w:b/>
          <w:color w:val="C99B3A"/>
          <w:sz w:val="17"/>
        </w:rPr>
        <w:t>APPENDIX B</w:t>
      </w:r>
    </w:p>
    <w:p>
      <w:pPr>
        <w:spacing w:after="80"/>
      </w:pPr>
      <w:r>
        <w:rPr>
          <w:rFonts w:ascii="Aptos Display" w:hAnsi="Aptos Display"/>
          <w:b/>
          <w:color w:val="0C2230"/>
          <w:sz w:val="48"/>
        </w:rPr>
        <w:t>Code Sheet</w:t>
      </w:r>
    </w:p>
    <w:p>
      <w:pPr>
        <w:spacing w:after="200"/>
      </w:pPr>
      <w:r>
        <w:rPr>
          <w:rFonts w:ascii="Aptos" w:hAnsi="Aptos"/>
          <w:b w:val="0"/>
          <w:color w:val="5F6B72"/>
          <w:sz w:val="21"/>
        </w:rPr>
        <w:t>Common labels used in the report and dataset</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p>
      <w:pPr>
        <w:spacing w:before="120" w:after="60"/>
      </w:pPr>
      <w:r>
        <w:rPr>
          <w:rFonts w:ascii="Aptos" w:hAnsi="Aptos"/>
          <w:b/>
          <w:color w:val="0C2230"/>
          <w:sz w:val="22"/>
        </w:rPr>
        <w:t>SHADOW indices</w:t>
      </w:r>
    </w:p>
    <w:tbl>
      <w:tblPr>
        <w:tblW w:type="auto" w:w="0"/>
        <w:jc w:val="center"/>
        <w:tblLook w:firstColumn="1" w:firstRow="1" w:lastColumn="0" w:lastRow="0" w:noHBand="0" w:noVBand="1" w:val="04A0"/>
      </w:tblPr>
      <w:tblGrid>
        <w:gridCol w:w="5083"/>
        <w:gridCol w:w="5083"/>
      </w:tblGrid>
      <w:tr>
        <w:tc>
          <w:tcPr>
            <w:tcW w:type="dxa" w:w="5083"/>
            <w:shd w:fill="F8FAFB"/>
          </w:tcPr>
          <w:p>
            <w:r>
              <w:rPr>
                <w:rFonts w:ascii="Aptos" w:hAnsi="Aptos"/>
                <w:b/>
                <w:color w:val="0C2230"/>
                <w:sz w:val="17"/>
              </w:rPr>
              <w:t>TSI</w:t>
            </w:r>
          </w:p>
        </w:tc>
        <w:tc>
          <w:tcPr>
            <w:tcW w:type="dxa" w:w="5083"/>
            <w:shd w:fill="F8FAFB"/>
          </w:tcPr>
          <w:p>
            <w:r>
              <w:rPr>
                <w:rFonts w:ascii="Aptos" w:hAnsi="Aptos"/>
                <w:b w:val="0"/>
                <w:color w:val="111111"/>
                <w:sz w:val="17"/>
              </w:rPr>
              <w:t>Title State Integrity</w:t>
            </w:r>
          </w:p>
        </w:tc>
      </w:tr>
      <w:tr>
        <w:tc>
          <w:tcPr>
            <w:tcW w:type="dxa" w:w="5083"/>
            <w:shd w:fill="EEF3F5"/>
          </w:tcPr>
          <w:p>
            <w:r>
              <w:rPr>
                <w:rFonts w:ascii="Aptos" w:hAnsi="Aptos"/>
                <w:b/>
                <w:color w:val="0C2230"/>
                <w:sz w:val="17"/>
              </w:rPr>
              <w:t>ASI</w:t>
            </w:r>
          </w:p>
        </w:tc>
        <w:tc>
          <w:tcPr>
            <w:tcW w:type="dxa" w:w="5083"/>
            <w:shd w:fill="EEF3F5"/>
          </w:tcPr>
          <w:p>
            <w:r>
              <w:rPr>
                <w:rFonts w:ascii="Aptos" w:hAnsi="Aptos"/>
                <w:b w:val="0"/>
                <w:color w:val="111111"/>
                <w:sz w:val="17"/>
              </w:rPr>
              <w:t>Asset Stress Index</w:t>
            </w:r>
          </w:p>
        </w:tc>
      </w:tr>
      <w:tr>
        <w:tc>
          <w:tcPr>
            <w:tcW w:type="dxa" w:w="5083"/>
            <w:shd w:fill="F8FAFB"/>
          </w:tcPr>
          <w:p>
            <w:r>
              <w:rPr>
                <w:rFonts w:ascii="Aptos" w:hAnsi="Aptos"/>
                <w:b/>
                <w:color w:val="0C2230"/>
                <w:sz w:val="17"/>
              </w:rPr>
              <w:t>DPI</w:t>
            </w:r>
          </w:p>
        </w:tc>
        <w:tc>
          <w:tcPr>
            <w:tcW w:type="dxa" w:w="5083"/>
            <w:shd w:fill="F8FAFB"/>
          </w:tcPr>
          <w:p>
            <w:r>
              <w:rPr>
                <w:rFonts w:ascii="Aptos" w:hAnsi="Aptos"/>
                <w:b w:val="0"/>
                <w:color w:val="111111"/>
                <w:sz w:val="17"/>
              </w:rPr>
              <w:t>Debt Pressure Index</w:t>
            </w:r>
          </w:p>
        </w:tc>
      </w:tr>
      <w:tr>
        <w:tc>
          <w:tcPr>
            <w:tcW w:type="dxa" w:w="5083"/>
            <w:shd w:fill="EEF3F5"/>
          </w:tcPr>
          <w:p>
            <w:r>
              <w:rPr>
                <w:rFonts w:ascii="Aptos" w:hAnsi="Aptos"/>
                <w:b/>
                <w:color w:val="0C2230"/>
                <w:sz w:val="17"/>
              </w:rPr>
              <w:t>OOI</w:t>
            </w:r>
          </w:p>
        </w:tc>
        <w:tc>
          <w:tcPr>
            <w:tcW w:type="dxa" w:w="5083"/>
            <w:shd w:fill="EEF3F5"/>
          </w:tcPr>
          <w:p>
            <w:r>
              <w:rPr>
                <w:rFonts w:ascii="Aptos" w:hAnsi="Aptos"/>
                <w:b w:val="0"/>
                <w:color w:val="111111"/>
                <w:sz w:val="17"/>
              </w:rPr>
              <w:t>Ownership Opacity Index</w:t>
            </w:r>
          </w:p>
        </w:tc>
      </w:tr>
      <w:tr>
        <w:tc>
          <w:tcPr>
            <w:tcW w:type="dxa" w:w="5083"/>
            <w:shd w:fill="F8FAFB"/>
          </w:tcPr>
          <w:p>
            <w:r>
              <w:rPr>
                <w:rFonts w:ascii="Aptos" w:hAnsi="Aptos"/>
                <w:b/>
                <w:color w:val="0C2230"/>
                <w:sz w:val="17"/>
              </w:rPr>
              <w:t>CCI</w:t>
            </w:r>
          </w:p>
        </w:tc>
        <w:tc>
          <w:tcPr>
            <w:tcW w:type="dxa" w:w="5083"/>
            <w:shd w:fill="F8FAFB"/>
          </w:tcPr>
          <w:p>
            <w:r>
              <w:rPr>
                <w:rFonts w:ascii="Aptos" w:hAnsi="Aptos"/>
                <w:b w:val="0"/>
                <w:color w:val="111111"/>
                <w:sz w:val="17"/>
              </w:rPr>
              <w:t>Capital Concentration Index</w:t>
            </w:r>
          </w:p>
        </w:tc>
      </w:tr>
      <w:tr>
        <w:tc>
          <w:tcPr>
            <w:tcW w:type="dxa" w:w="5083"/>
            <w:shd w:fill="EEF3F5"/>
          </w:tcPr>
          <w:p>
            <w:r>
              <w:rPr>
                <w:rFonts w:ascii="Aptos" w:hAnsi="Aptos"/>
                <w:b/>
                <w:color w:val="0C2230"/>
                <w:sz w:val="17"/>
              </w:rPr>
              <w:t>PVMI</w:t>
            </w:r>
          </w:p>
        </w:tc>
        <w:tc>
          <w:tcPr>
            <w:tcW w:type="dxa" w:w="5083"/>
            <w:shd w:fill="EEF3F5"/>
          </w:tcPr>
          <w:p>
            <w:r>
              <w:rPr>
                <w:rFonts w:ascii="Aptos" w:hAnsi="Aptos"/>
                <w:b w:val="0"/>
                <w:color w:val="111111"/>
                <w:sz w:val="17"/>
              </w:rPr>
              <w:t>Public Value Migration Index</w:t>
            </w:r>
          </w:p>
        </w:tc>
      </w:tr>
      <w:tr>
        <w:tc>
          <w:tcPr>
            <w:tcW w:type="dxa" w:w="5083"/>
            <w:shd w:fill="F8FAFB"/>
          </w:tcPr>
          <w:p>
            <w:r>
              <w:rPr>
                <w:rFonts w:ascii="Aptos" w:hAnsi="Aptos"/>
                <w:b/>
                <w:color w:val="0C2230"/>
                <w:sz w:val="17"/>
              </w:rPr>
              <w:t>PBOI</w:t>
            </w:r>
          </w:p>
        </w:tc>
        <w:tc>
          <w:tcPr>
            <w:tcW w:type="dxa" w:w="5083"/>
            <w:shd w:fill="F8FAFB"/>
          </w:tcPr>
          <w:p>
            <w:r>
              <w:rPr>
                <w:rFonts w:ascii="Aptos" w:hAnsi="Aptos"/>
                <w:b w:val="0"/>
                <w:color w:val="111111"/>
                <w:sz w:val="17"/>
              </w:rPr>
              <w:t>Public Benefit Opportunity Index</w:t>
            </w:r>
          </w:p>
        </w:tc>
      </w:tr>
    </w:tbl>
    <w:p>
      <w:pPr>
        <w:spacing w:before="120" w:after="60"/>
      </w:pPr>
      <w:r>
        <w:rPr>
          <w:rFonts w:ascii="Aptos" w:hAnsi="Aptos"/>
          <w:b/>
          <w:color w:val="0C2230"/>
          <w:sz w:val="22"/>
        </w:rPr>
        <w:t>SHADOW CAMEL</w:t>
      </w:r>
    </w:p>
    <w:tbl>
      <w:tblPr>
        <w:tblW w:type="auto" w:w="0"/>
        <w:jc w:val="center"/>
        <w:tblLook w:firstColumn="1" w:firstRow="1" w:lastColumn="0" w:lastRow="0" w:noHBand="0" w:noVBand="1" w:val="04A0"/>
      </w:tblPr>
      <w:tblGrid>
        <w:gridCol w:w="5083"/>
        <w:gridCol w:w="5083"/>
      </w:tblGrid>
      <w:tr>
        <w:tc>
          <w:tcPr>
            <w:tcW w:type="dxa" w:w="5083"/>
            <w:shd w:fill="F8FAFB"/>
          </w:tcPr>
          <w:p>
            <w:r>
              <w:rPr>
                <w:rFonts w:ascii="Aptos" w:hAnsi="Aptos"/>
                <w:b/>
                <w:color w:val="0C2230"/>
                <w:sz w:val="17"/>
              </w:rPr>
              <w:t>C</w:t>
            </w:r>
          </w:p>
        </w:tc>
        <w:tc>
          <w:tcPr>
            <w:tcW w:type="dxa" w:w="5083"/>
            <w:shd w:fill="F8FAFB"/>
          </w:tcPr>
          <w:p>
            <w:r>
              <w:rPr>
                <w:rFonts w:ascii="Aptos" w:hAnsi="Aptos"/>
                <w:b w:val="0"/>
                <w:color w:val="111111"/>
                <w:sz w:val="17"/>
              </w:rPr>
              <w:t>Capital</w:t>
            </w:r>
          </w:p>
        </w:tc>
      </w:tr>
      <w:tr>
        <w:tc>
          <w:tcPr>
            <w:tcW w:type="dxa" w:w="5083"/>
            <w:shd w:fill="EEF3F5"/>
          </w:tcPr>
          <w:p>
            <w:r>
              <w:rPr>
                <w:rFonts w:ascii="Aptos" w:hAnsi="Aptos"/>
                <w:b/>
                <w:color w:val="0C2230"/>
                <w:sz w:val="17"/>
              </w:rPr>
              <w:t>A</w:t>
            </w:r>
          </w:p>
        </w:tc>
        <w:tc>
          <w:tcPr>
            <w:tcW w:type="dxa" w:w="5083"/>
            <w:shd w:fill="EEF3F5"/>
          </w:tcPr>
          <w:p>
            <w:r>
              <w:rPr>
                <w:rFonts w:ascii="Aptos" w:hAnsi="Aptos"/>
                <w:b w:val="0"/>
                <w:color w:val="111111"/>
                <w:sz w:val="17"/>
              </w:rPr>
              <w:t>Asset Quality</w:t>
            </w:r>
          </w:p>
        </w:tc>
      </w:tr>
      <w:tr>
        <w:tc>
          <w:tcPr>
            <w:tcW w:type="dxa" w:w="5083"/>
            <w:shd w:fill="F8FAFB"/>
          </w:tcPr>
          <w:p>
            <w:r>
              <w:rPr>
                <w:rFonts w:ascii="Aptos" w:hAnsi="Aptos"/>
                <w:b/>
                <w:color w:val="0C2230"/>
                <w:sz w:val="17"/>
              </w:rPr>
              <w:t>M*</w:t>
            </w:r>
          </w:p>
        </w:tc>
        <w:tc>
          <w:tcPr>
            <w:tcW w:type="dxa" w:w="5083"/>
            <w:shd w:fill="F8FAFB"/>
          </w:tcPr>
          <w:p>
            <w:r>
              <w:rPr>
                <w:rFonts w:ascii="Aptos" w:hAnsi="Aptos"/>
                <w:b w:val="0"/>
                <w:color w:val="111111"/>
                <w:sz w:val="17"/>
              </w:rPr>
              <w:t>Public Management-Risk Proxy</w:t>
            </w:r>
          </w:p>
        </w:tc>
      </w:tr>
      <w:tr>
        <w:tc>
          <w:tcPr>
            <w:tcW w:type="dxa" w:w="5083"/>
            <w:shd w:fill="EEF3F5"/>
          </w:tcPr>
          <w:p>
            <w:r>
              <w:rPr>
                <w:rFonts w:ascii="Aptos" w:hAnsi="Aptos"/>
                <w:b/>
                <w:color w:val="0C2230"/>
                <w:sz w:val="17"/>
              </w:rPr>
              <w:t>E</w:t>
            </w:r>
          </w:p>
        </w:tc>
        <w:tc>
          <w:tcPr>
            <w:tcW w:type="dxa" w:w="5083"/>
            <w:shd w:fill="EEF3F5"/>
          </w:tcPr>
          <w:p>
            <w:r>
              <w:rPr>
                <w:rFonts w:ascii="Aptos" w:hAnsi="Aptos"/>
                <w:b w:val="0"/>
                <w:color w:val="111111"/>
                <w:sz w:val="17"/>
              </w:rPr>
              <w:t>Earnings</w:t>
            </w:r>
          </w:p>
        </w:tc>
      </w:tr>
      <w:tr>
        <w:tc>
          <w:tcPr>
            <w:tcW w:type="dxa" w:w="5083"/>
            <w:shd w:fill="F8FAFB"/>
          </w:tcPr>
          <w:p>
            <w:r>
              <w:rPr>
                <w:rFonts w:ascii="Aptos" w:hAnsi="Aptos"/>
                <w:b/>
                <w:color w:val="0C2230"/>
                <w:sz w:val="17"/>
              </w:rPr>
              <w:t>L</w:t>
            </w:r>
          </w:p>
        </w:tc>
        <w:tc>
          <w:tcPr>
            <w:tcW w:type="dxa" w:w="5083"/>
            <w:shd w:fill="F8FAFB"/>
          </w:tcPr>
          <w:p>
            <w:r>
              <w:rPr>
                <w:rFonts w:ascii="Aptos" w:hAnsi="Aptos"/>
                <w:b w:val="0"/>
                <w:color w:val="111111"/>
                <w:sz w:val="17"/>
              </w:rPr>
              <w:t>Liquidity</w:t>
            </w:r>
          </w:p>
        </w:tc>
      </w:tr>
      <w:tr>
        <w:tc>
          <w:tcPr>
            <w:tcW w:type="dxa" w:w="5083"/>
            <w:shd w:fill="EEF3F5"/>
          </w:tcPr>
          <w:p>
            <w:r>
              <w:rPr>
                <w:rFonts w:ascii="Aptos" w:hAnsi="Aptos"/>
                <w:b/>
                <w:color w:val="0C2230"/>
                <w:sz w:val="17"/>
              </w:rPr>
              <w:t>S*</w:t>
            </w:r>
          </w:p>
        </w:tc>
        <w:tc>
          <w:tcPr>
            <w:tcW w:type="dxa" w:w="5083"/>
            <w:shd w:fill="EEF3F5"/>
          </w:tcPr>
          <w:p>
            <w:r>
              <w:rPr>
                <w:rFonts w:ascii="Aptos" w:hAnsi="Aptos"/>
                <w:b w:val="0"/>
                <w:color w:val="111111"/>
                <w:sz w:val="17"/>
              </w:rPr>
              <w:t>Publicly Inferred Sensitivity to Market Risk</w:t>
            </w:r>
          </w:p>
        </w:tc>
      </w:tr>
    </w:tbl>
    <w:p>
      <w:pPr>
        <w:spacing w:before="120" w:after="60"/>
      </w:pPr>
      <w:r>
        <w:rPr>
          <w:rFonts w:ascii="Aptos" w:hAnsi="Aptos"/>
          <w:b/>
          <w:color w:val="0C2230"/>
          <w:sz w:val="22"/>
        </w:rPr>
        <w:t>M5 rights</w:t>
      </w:r>
    </w:p>
    <w:tbl>
      <w:tblPr>
        <w:tblW w:type="auto" w:w="0"/>
        <w:jc w:val="center"/>
        <w:tblLook w:firstColumn="1" w:firstRow="1" w:lastColumn="0" w:lastRow="0" w:noHBand="0" w:noVBand="1" w:val="04A0"/>
      </w:tblPr>
      <w:tblGrid>
        <w:gridCol w:w="5083"/>
        <w:gridCol w:w="5083"/>
      </w:tblGrid>
      <w:tr>
        <w:tc>
          <w:tcPr>
            <w:tcW w:type="dxa" w:w="5083"/>
            <w:shd w:fill="F8FAFB"/>
          </w:tcPr>
          <w:p>
            <w:r>
              <w:rPr>
                <w:rFonts w:ascii="Aptos" w:hAnsi="Aptos"/>
                <w:b/>
                <w:color w:val="0C2230"/>
                <w:sz w:val="17"/>
              </w:rPr>
              <w:t>SR1</w:t>
            </w:r>
          </w:p>
        </w:tc>
        <w:tc>
          <w:tcPr>
            <w:tcW w:type="dxa" w:w="5083"/>
            <w:shd w:fill="F8FAFB"/>
          </w:tcPr>
          <w:p>
            <w:r>
              <w:rPr>
                <w:rFonts w:ascii="Aptos" w:hAnsi="Aptos"/>
                <w:b w:val="0"/>
                <w:color w:val="111111"/>
                <w:sz w:val="17"/>
              </w:rPr>
              <w:t>Sovereign Identity</w:t>
            </w:r>
          </w:p>
        </w:tc>
      </w:tr>
      <w:tr>
        <w:tc>
          <w:tcPr>
            <w:tcW w:type="dxa" w:w="5083"/>
            <w:shd w:fill="EEF3F5"/>
          </w:tcPr>
          <w:p>
            <w:r>
              <w:rPr>
                <w:rFonts w:ascii="Aptos" w:hAnsi="Aptos"/>
                <w:b/>
                <w:color w:val="0C2230"/>
                <w:sz w:val="17"/>
              </w:rPr>
              <w:t>SR2</w:t>
            </w:r>
          </w:p>
        </w:tc>
        <w:tc>
          <w:tcPr>
            <w:tcW w:type="dxa" w:w="5083"/>
            <w:shd w:fill="EEF3F5"/>
          </w:tcPr>
          <w:p>
            <w:r>
              <w:rPr>
                <w:rFonts w:ascii="Aptos" w:hAnsi="Aptos"/>
                <w:b w:val="0"/>
                <w:color w:val="111111"/>
                <w:sz w:val="17"/>
              </w:rPr>
              <w:t>Data Sovereignty</w:t>
            </w:r>
          </w:p>
        </w:tc>
      </w:tr>
      <w:tr>
        <w:tc>
          <w:tcPr>
            <w:tcW w:type="dxa" w:w="5083"/>
            <w:shd w:fill="F8FAFB"/>
          </w:tcPr>
          <w:p>
            <w:r>
              <w:rPr>
                <w:rFonts w:ascii="Aptos" w:hAnsi="Aptos"/>
                <w:b/>
                <w:color w:val="0C2230"/>
                <w:sz w:val="17"/>
              </w:rPr>
              <w:t>SR3</w:t>
            </w:r>
          </w:p>
        </w:tc>
        <w:tc>
          <w:tcPr>
            <w:tcW w:type="dxa" w:w="5083"/>
            <w:shd w:fill="F8FAFB"/>
          </w:tcPr>
          <w:p>
            <w:r>
              <w:rPr>
                <w:rFonts w:ascii="Aptos" w:hAnsi="Aptos"/>
                <w:b w:val="0"/>
                <w:color w:val="111111"/>
                <w:sz w:val="17"/>
              </w:rPr>
              <w:t>Financial Privacy</w:t>
            </w:r>
          </w:p>
        </w:tc>
      </w:tr>
      <w:tr>
        <w:tc>
          <w:tcPr>
            <w:tcW w:type="dxa" w:w="5083"/>
            <w:shd w:fill="EEF3F5"/>
          </w:tcPr>
          <w:p>
            <w:r>
              <w:rPr>
                <w:rFonts w:ascii="Aptos" w:hAnsi="Aptos"/>
                <w:b/>
                <w:color w:val="0C2230"/>
                <w:sz w:val="17"/>
              </w:rPr>
              <w:t>SR4</w:t>
            </w:r>
          </w:p>
        </w:tc>
        <w:tc>
          <w:tcPr>
            <w:tcW w:type="dxa" w:w="5083"/>
            <w:shd w:fill="EEF3F5"/>
          </w:tcPr>
          <w:p>
            <w:r>
              <w:rPr>
                <w:rFonts w:ascii="Aptos" w:hAnsi="Aptos"/>
                <w:b w:val="0"/>
                <w:color w:val="111111"/>
                <w:sz w:val="17"/>
              </w:rPr>
              <w:t>Self-Determination</w:t>
            </w:r>
          </w:p>
        </w:tc>
      </w:tr>
      <w:tr>
        <w:tc>
          <w:tcPr>
            <w:tcW w:type="dxa" w:w="5083"/>
            <w:shd w:fill="F8FAFB"/>
          </w:tcPr>
          <w:p>
            <w:r>
              <w:rPr>
                <w:rFonts w:ascii="Aptos" w:hAnsi="Aptos"/>
                <w:b/>
                <w:color w:val="0C2230"/>
                <w:sz w:val="17"/>
              </w:rPr>
              <w:t>SR5</w:t>
            </w:r>
          </w:p>
        </w:tc>
        <w:tc>
          <w:tcPr>
            <w:tcW w:type="dxa" w:w="5083"/>
            <w:shd w:fill="F8FAFB"/>
          </w:tcPr>
          <w:p>
            <w:r>
              <w:rPr>
                <w:rFonts w:ascii="Aptos" w:hAnsi="Aptos"/>
                <w:b w:val="0"/>
                <w:color w:val="111111"/>
                <w:sz w:val="17"/>
              </w:rPr>
              <w:t>Portability</w:t>
            </w:r>
          </w:p>
        </w:tc>
      </w:tr>
    </w:tbl>
    <w:p>
      <w:r>
        <w:br w:type="page"/>
      </w:r>
    </w:p>
    <w:p>
      <w:pPr>
        <w:spacing w:before="160" w:after="40"/>
      </w:pPr>
      <w:r>
        <w:rPr>
          <w:rFonts w:ascii="Aptos" w:hAnsi="Aptos"/>
          <w:b/>
          <w:color w:val="C99B3A"/>
          <w:sz w:val="17"/>
        </w:rPr>
        <w:t>SOURCES</w:t>
      </w:r>
    </w:p>
    <w:p>
      <w:pPr>
        <w:spacing w:after="80"/>
      </w:pPr>
      <w:r>
        <w:rPr>
          <w:rFonts w:ascii="Aptos Display" w:hAnsi="Aptos Display"/>
          <w:b/>
          <w:color w:val="0C2230"/>
          <w:sz w:val="48"/>
        </w:rPr>
        <w:t>Selected public sources and report basis</w:t>
      </w:r>
    </w:p>
    <w:p>
      <w:pPr>
        <w:spacing w:after="200"/>
      </w:pPr>
      <w:r>
        <w:rPr>
          <w:rFonts w:ascii="Aptos" w:hAnsi="Aptos"/>
          <w:b w:val="0"/>
          <w:color w:val="5F6B72"/>
          <w:sz w:val="21"/>
        </w:rPr>
        <w:t>The public report should remain auditable and updateable</w:t>
      </w:r>
    </w:p>
    <w:tbl>
      <w:tblPr>
        <w:tblW w:type="auto" w:w="0"/>
        <w:jc w:val="left"/>
        <w:tblLayout w:type="fixed"/>
        <w:tblLook w:firstColumn="1" w:firstRow="1" w:lastColumn="0" w:lastRow="0" w:noHBand="0" w:noVBand="1" w:val="04A0"/>
      </w:tblPr>
      <w:tblGrid>
        <w:gridCol w:w="1512"/>
        <w:gridCol w:w="8496"/>
      </w:tblGrid>
      <w:tr>
        <w:tc>
          <w:tcPr>
            <w:tcW w:type="dxa" w:w="5083"/>
            <w:shd w:fill="C99B3A"/>
          </w:tcPr>
          <w:p>
            <w:pPr>
              <w:spacing w:after="0"/>
            </w:pPr>
          </w:p>
        </w:tc>
        <w:tc>
          <w:tcPr>
            <w:tcW w:type="dxa" w:w="5083"/>
            <w:shd w:fill="DDE5E8"/>
          </w:tcPr>
          <w:p>
            <w:pPr>
              <w:spacing w:after="0"/>
            </w:pPr>
          </w:p>
        </w:tc>
      </w:tr>
    </w:tbl>
    <w:p>
      <w:pPr>
        <w:spacing w:after="20"/>
      </w:pPr>
    </w:p>
    <w:p>
      <w:pPr>
        <w:spacing w:after="60"/>
      </w:pPr>
      <w:r>
        <w:rPr>
          <w:rFonts w:ascii="Aptos" w:hAnsi="Aptos"/>
          <w:b/>
          <w:color w:val="0C2230"/>
          <w:sz w:val="17"/>
        </w:rPr>
        <w:t xml:space="preserve">1. Federal Reserve - Supervision and Regulation Report, June 2026 - </w:t>
      </w:r>
      <w:hyperlink r:id="rId24">
        <w:r>
          <w:rPr>
            <w:color w:val="315B6B"/>
          </w:rPr>
          <w:t>https://www.federalreserve.gov/publications/2026-june-supervision-and-regulation-report.htm</w:t>
        </w:r>
      </w:hyperlink>
    </w:p>
    <w:p>
      <w:pPr>
        <w:spacing w:after="60"/>
      </w:pPr>
      <w:r>
        <w:rPr>
          <w:rFonts w:ascii="Aptos" w:hAnsi="Aptos"/>
          <w:b/>
          <w:color w:val="0C2230"/>
          <w:sz w:val="17"/>
        </w:rPr>
        <w:t xml:space="preserve">2. Federal Reserve - Banking System Conditions, June 2026 - </w:t>
      </w:r>
      <w:hyperlink r:id="rId25">
        <w:r>
          <w:rPr>
            <w:color w:val="315B6B"/>
          </w:rPr>
          <w:t>https://www.federalreserve.gov/publications/2026-june-supervision-and-regulation-report-report-banking-system-conditions.htm</w:t>
        </w:r>
      </w:hyperlink>
    </w:p>
    <w:p>
      <w:pPr>
        <w:spacing w:after="60"/>
      </w:pPr>
      <w:r>
        <w:rPr>
          <w:rFonts w:ascii="Aptos" w:hAnsi="Aptos"/>
          <w:b/>
          <w:color w:val="0C2230"/>
          <w:sz w:val="17"/>
        </w:rPr>
        <w:t xml:space="preserve">3. Federal Reserve - 2026 Stress Test Results - </w:t>
      </w:r>
      <w:hyperlink r:id="rId26">
        <w:r>
          <w:rPr>
            <w:color w:val="315B6B"/>
          </w:rPr>
          <w:t>https://www.federalreserve.gov/newsevents/pressreleases/bcreg20260624a.htm</w:t>
        </w:r>
      </w:hyperlink>
    </w:p>
    <w:p>
      <w:pPr>
        <w:spacing w:after="60"/>
      </w:pPr>
      <w:r>
        <w:rPr>
          <w:rFonts w:ascii="Aptos" w:hAnsi="Aptos"/>
          <w:b/>
          <w:color w:val="0C2230"/>
          <w:sz w:val="17"/>
        </w:rPr>
        <w:t xml:space="preserve">4. FDIC - Quarterly Banking Profile, Q1 2026 - </w:t>
      </w:r>
      <w:hyperlink r:id="rId27">
        <w:r>
          <w:rPr>
            <w:color w:val="315B6B"/>
          </w:rPr>
          <w:t>https://www.fdic.gov/quarterly-banking-profile/quarterly-banking-profile-q1-2026</w:t>
        </w:r>
      </w:hyperlink>
    </w:p>
    <w:p>
      <w:pPr>
        <w:spacing w:after="60"/>
      </w:pPr>
      <w:r>
        <w:rPr>
          <w:rFonts w:ascii="Aptos" w:hAnsi="Aptos"/>
          <w:b/>
          <w:color w:val="0C2230"/>
          <w:sz w:val="17"/>
        </w:rPr>
        <w:t xml:space="preserve">5. Trepp - August 2026 CMBS Delinquency - </w:t>
      </w:r>
      <w:hyperlink r:id="rId28">
        <w:r>
          <w:rPr>
            <w:color w:val="315B6B"/>
          </w:rPr>
          <w:t>https://www.trepp.com/trepptalk/overall-cmbs-delinquency-rate-decreased-in-august-2026</w:t>
        </w:r>
      </w:hyperlink>
    </w:p>
    <w:p>
      <w:pPr>
        <w:spacing w:after="60"/>
      </w:pPr>
      <w:r>
        <w:rPr>
          <w:rFonts w:ascii="Aptos" w:hAnsi="Aptos"/>
          <w:b/>
          <w:color w:val="0C2230"/>
          <w:sz w:val="17"/>
        </w:rPr>
        <w:t xml:space="preserve">6. Trepp - August 2026 CMBS Special Servicing - </w:t>
      </w:r>
      <w:hyperlink r:id="rId29">
        <w:r>
          <w:rPr>
            <w:color w:val="315B6B"/>
          </w:rPr>
          <w:t>https://www.trepp.com/trepptalk/cmbs-special-servicing-rate-climbs-in-august-2026</w:t>
        </w:r>
      </w:hyperlink>
    </w:p>
    <w:p>
      <w:pPr>
        <w:spacing w:after="60"/>
      </w:pPr>
      <w:r>
        <w:rPr>
          <w:rFonts w:ascii="Aptos" w:hAnsi="Aptos"/>
          <w:b/>
          <w:color w:val="0C2230"/>
          <w:sz w:val="17"/>
        </w:rPr>
        <w:t xml:space="preserve">7. GSA - Assets for Accelerated Disposition - </w:t>
      </w:r>
      <w:hyperlink r:id="rId18">
        <w:r>
          <w:rPr>
            <w:color w:val="315B6B"/>
          </w:rPr>
          <w:t>https://www.gsa.gov/real-estate/real-property-disposition/assets-identified-for-accelerated-disposition</w:t>
        </w:r>
      </w:hyperlink>
    </w:p>
    <w:p>
      <w:pPr>
        <w:spacing w:after="60"/>
      </w:pPr>
      <w:r>
        <w:rPr>
          <w:rFonts w:ascii="Aptos" w:hAnsi="Aptos"/>
          <w:b/>
          <w:color w:val="0C2230"/>
          <w:sz w:val="17"/>
        </w:rPr>
        <w:t xml:space="preserve">8. GSA - Spring Street testimony / capital-maintenance estimate - </w:t>
      </w:r>
      <w:hyperlink r:id="rId30">
        <w:r>
          <w:rPr>
            <w:color w:val="315B6B"/>
          </w:rPr>
          <w:t>https://www.gsa.gov/about-gsa/newsroom/congressional-testimony/commissioner-heller-before-ti-12112025</w:t>
        </w:r>
      </w:hyperlink>
    </w:p>
    <w:p>
      <w:pPr>
        <w:spacing w:after="60"/>
      </w:pPr>
      <w:r>
        <w:rPr>
          <w:rFonts w:ascii="Aptos" w:hAnsi="Aptos"/>
          <w:b/>
          <w:color w:val="0C2230"/>
          <w:sz w:val="17"/>
        </w:rPr>
        <w:t xml:space="preserve">9. GSA - Fort Worth dispositions - </w:t>
      </w:r>
      <w:hyperlink r:id="rId19">
        <w:r>
          <w:rPr>
            <w:color w:val="315B6B"/>
          </w:rPr>
          <w:t>https://www.gsa.gov/about-gsa/newsroom/news-releases/gsa-saves-more-than-348-million-with-downtown-fort-worth-dispositions-09102026</w:t>
        </w:r>
      </w:hyperlink>
    </w:p>
    <w:p>
      <w:pPr>
        <w:spacing w:after="60"/>
      </w:pPr>
      <w:r>
        <w:rPr>
          <w:rFonts w:ascii="Aptos" w:hAnsi="Aptos"/>
          <w:b/>
          <w:color w:val="0C2230"/>
          <w:sz w:val="17"/>
        </w:rPr>
        <w:t xml:space="preserve">10. GSA - Goodfellow environmental reading room - </w:t>
      </w:r>
      <w:hyperlink r:id="rId21">
        <w:r>
          <w:rPr>
            <w:color w:val="315B6B"/>
          </w:rPr>
          <w:t>https://www.gsa.gov/real-estate/real-property-disposition/goodfellow-federal-center-environmental-reading-room</w:t>
        </w:r>
      </w:hyperlink>
    </w:p>
    <w:p>
      <w:pPr>
        <w:spacing w:after="60"/>
      </w:pPr>
      <w:r>
        <w:rPr>
          <w:rFonts w:ascii="Aptos" w:hAnsi="Aptos"/>
          <w:b/>
          <w:color w:val="0C2230"/>
          <w:sz w:val="17"/>
        </w:rPr>
        <w:t xml:space="preserve">11. GSA - Montpelier auction release - </w:t>
      </w:r>
      <w:hyperlink r:id="rId22">
        <w:r>
          <w:rPr>
            <w:color w:val="315B6B"/>
          </w:rPr>
          <w:t>https://www.gsa.gov/about-gsa/newsroom/news-releases/historic-montpelier-federal-building-goes-to-auction-06152026</w:t>
        </w:r>
      </w:hyperlink>
    </w:p>
    <w:p>
      <w:pPr>
        <w:spacing w:after="60"/>
      </w:pPr>
      <w:r>
        <w:rPr>
          <w:rFonts w:ascii="Aptos" w:hAnsi="Aptos"/>
          <w:b/>
          <w:color w:val="0C2230"/>
          <w:sz w:val="17"/>
        </w:rPr>
        <w:t xml:space="preserve">12. GSA - Grand Rapids auction release - </w:t>
      </w:r>
      <w:hyperlink r:id="rId23">
        <w:r>
          <w:rPr>
            <w:color w:val="315B6B"/>
          </w:rPr>
          <w:t>https://www.gsa.gov/about-gsa/newsroom/news-releases/gsa-auctions-grand-rapids-property-will-save-taxpayers-millions-05202026</w:t>
        </w:r>
      </w:hyperlink>
    </w:p>
    <w:p>
      <w:pPr>
        <w:spacing w:before="160" w:after="60"/>
      </w:pPr>
      <w:r>
        <w:rPr>
          <w:rFonts w:ascii="Aptos" w:hAnsi="Aptos"/>
          <w:b/>
          <w:color w:val="0C2230"/>
          <w:sz w:val="22"/>
        </w:rPr>
        <w:t>Dataset basis</w:t>
      </w:r>
    </w:p>
    <w:p>
      <w:pPr>
        <w:spacing w:after="120"/>
      </w:pPr>
      <w:r>
        <w:rPr>
          <w:rFonts w:ascii="Aptos" w:hAnsi="Aptos"/>
          <w:b w:val="0"/>
          <w:color w:val="111111"/>
          <w:sz w:val="18"/>
        </w:rPr>
        <w:t>The property appendix is generated from SHADOW_M5Index_Master_Dataset_v0.1.xlsx. The workbook distinguishes SUBMITTED from SOURCE_VERIFIED evidence and deliberately leaves unresolved buyer, lender, title, rights and environmental fields open for public contribution and later canonicalization.</w:t>
      </w:r>
    </w:p>
    <w:p>
      <w:pPr>
        <w:spacing w:before="200"/>
        <w:jc w:val="center"/>
      </w:pPr>
      <w:r>
        <w:rPr>
          <w:rFonts w:ascii="Aptos" w:hAnsi="Aptos"/>
          <w:b/>
          <w:color w:val="C99B3A"/>
          <w:sz w:val="17"/>
        </w:rPr>
        <w:t>TITLECHAIN FOUNDATION  •  BUILD THE COMMONS  •  INSPECT IT  •  CHALLENGE IT  •  ADD EVIDENCE</w:t>
      </w:r>
    </w:p>
    <w:p>
      <w:pPr>
        <w:jc w:val="center"/>
      </w:pPr>
      <w:hyperlink r:id="rId12">
        <w:r>
          <w:rPr>
            <w:color w:val="315B6B"/>
          </w:rPr>
          <w:t>titlechainfoundation.org</w:t>
        </w:r>
      </w:hyperlink>
      <w:r>
        <w:t xml:space="preserve">   •   </w:t>
      </w:r>
      <w:hyperlink r:id="rId13">
        <w:r>
          <w:rPr>
            <w:color w:val="315B6B"/>
          </w:rPr>
          <w:t>github.com/TitleChain-Foundation</w:t>
        </w:r>
      </w:hyperlink>
    </w:p>
    <w:sectPr w:rsidR="00FC693F" w:rsidRPr="0006063C" w:rsidSect="00034616">
      <w:pgSz w:w="12240" w:h="15840"/>
      <w:pgMar w:top="936" w:right="1037" w:bottom="1008"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ptos" w:hAnsi="Aptos"/>
        <w:b w:val="0"/>
        <w:color w:val="5F6B72"/>
        <w:sz w:val="12"/>
      </w:rPr>
      <w:t xml:space="preserve">titlechainfoundation.org  •  github.com/TitleChain-Foundation  •  </w:t>
    </w:r>
    <w:r>
      <w:rPr>
        <w:rFonts w:ascii="Aptos" w:hAnsi="Aptos"/>
        <w:b w:val="0"/>
        <w:color w:val="5F6B72"/>
        <w:sz w:val="12"/>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47472" cy="347472"/>
          <wp:docPr id="1" name="Picture 1"/>
          <wp:cNvGraphicFramePr>
            <a:graphicFrameLocks noChangeAspect="1"/>
          </wp:cNvGraphicFramePr>
          <a:graphic>
            <a:graphicData uri="http://schemas.openxmlformats.org/drawingml/2006/picture">
              <pic:pic>
                <pic:nvPicPr>
                  <pic:cNvPr id="0" name="titlechainfoundationsmalllogo.jpg"/>
                  <pic:cNvPicPr/>
                </pic:nvPicPr>
                <pic:blipFill>
                  <a:blip r:embed="rId1"/>
                  <a:stretch>
                    <a:fillRect/>
                  </a:stretch>
                </pic:blipFill>
                <pic:spPr>
                  <a:xfrm>
                    <a:off x="0" y="0"/>
                    <a:ext cx="347472" cy="347472"/>
                  </a:xfrm>
                  <a:prstGeom prst="rect"/>
                </pic:spPr>
              </pic:pic>
            </a:graphicData>
          </a:graphic>
        </wp:inline>
      </w:drawing>
    </w:r>
    <w:r>
      <w:rPr>
        <w:rFonts w:ascii="Aptos" w:hAnsi="Aptos"/>
        <w:b/>
        <w:color w:val="0C2230"/>
        <w:sz w:val="15"/>
      </w:rPr>
      <w:t xml:space="preserve">   M5Index - SHADOW CAMEL REPORT   |   Q3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22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22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99B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C22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titlechainfoundation.org/" TargetMode="External"/><Relationship Id="rId13" Type="http://schemas.openxmlformats.org/officeDocument/2006/relationships/hyperlink" Target="https://github.com/TitleChain-Foundation"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www.gsa.gov/real-estate/real-property-disposition/assets-identified-for-accelerated-disposition" TargetMode="External"/><Relationship Id="rId19" Type="http://schemas.openxmlformats.org/officeDocument/2006/relationships/hyperlink" Target="https://www.gsa.gov/about-gsa/newsroom/news-releases/gsa-saves-more-than-348-million-with-downtown-fort-worth-dispositions-09102026" TargetMode="External"/><Relationship Id="rId20" Type="http://schemas.openxmlformats.org/officeDocument/2006/relationships/hyperlink" Target="https://www.gsa.gov/about-us/newsroom/news-releases/gsa-announces-accelerated-disposition-of-celebrezze-federal-building-05012025" TargetMode="External"/><Relationship Id="rId21" Type="http://schemas.openxmlformats.org/officeDocument/2006/relationships/hyperlink" Target="https://www.gsa.gov/real-estate/real-property-disposition/goodfellow-federal-center-environmental-reading-room" TargetMode="External"/><Relationship Id="rId22" Type="http://schemas.openxmlformats.org/officeDocument/2006/relationships/hyperlink" Target="https://www.gsa.gov/about-gsa/newsroom/news-releases/historic-montpelier-federal-building-goes-to-auction-06152026" TargetMode="External"/><Relationship Id="rId23" Type="http://schemas.openxmlformats.org/officeDocument/2006/relationships/hyperlink" Target="https://www.gsa.gov/about-gsa/newsroom/news-releases/gsa-auctions-grand-rapids-property-will-save-taxpayers-millions-05202026" TargetMode="External"/><Relationship Id="rId24" Type="http://schemas.openxmlformats.org/officeDocument/2006/relationships/hyperlink" Target="https://www.federalreserve.gov/publications/2026-june-supervision-and-regulation-report.htm" TargetMode="External"/><Relationship Id="rId25" Type="http://schemas.openxmlformats.org/officeDocument/2006/relationships/hyperlink" Target="https://www.federalreserve.gov/publications/2026-june-supervision-and-regulation-report-report-banking-system-conditions.htm" TargetMode="External"/><Relationship Id="rId26" Type="http://schemas.openxmlformats.org/officeDocument/2006/relationships/hyperlink" Target="https://www.federalreserve.gov/newsevents/pressreleases/bcreg20260624a.htm" TargetMode="External"/><Relationship Id="rId27" Type="http://schemas.openxmlformats.org/officeDocument/2006/relationships/hyperlink" Target="https://www.fdic.gov/quarterly-banking-profile/quarterly-banking-profile-q1-2026" TargetMode="External"/><Relationship Id="rId28" Type="http://schemas.openxmlformats.org/officeDocument/2006/relationships/hyperlink" Target="https://www.trepp.com/trepptalk/overall-cmbs-delinquency-rate-decreased-in-august-2026" TargetMode="External"/><Relationship Id="rId29" Type="http://schemas.openxmlformats.org/officeDocument/2006/relationships/hyperlink" Target="https://www.trepp.com/trepptalk/cmbs-special-servicing-rate-climbs-in-august-2026" TargetMode="External"/><Relationship Id="rId30" Type="http://schemas.openxmlformats.org/officeDocument/2006/relationships/hyperlink" Target="https://www.gsa.gov/about-gsa/newsroom/congressional-testimony/commissioner-heller-before-ti-1211202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M5Index - SHADOW CAMEL REPORT - First Edition Q3 2026</dc:title>
  <dc:subject>TitleChain Foundation public research report on government assets, commercial real estate, farmland, title state, banking risk and public-benefit opportunity.</dc:subject>
  <dc:creator>TitleChain Foundation</dc:creator>
  <cp:keywords>SHADOW M5Index, TitleChain, M5 Economics, CAMEL, commercial real estate, government assets, farmland, People’s Trust</cp:keywords>
  <dc:description>generated by python-docx</dc:description>
  <cp:lastModifiedBy/>
  <cp:revision>1</cp:revision>
  <dcterms:created xsi:type="dcterms:W3CDTF">2013-12-23T23:15:00Z</dcterms:created>
  <dcterms:modified xsi:type="dcterms:W3CDTF">2013-12-23T23:15:00Z</dcterms:modified>
  <cp:category/>
</cp:coreProperties>
</file>