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SOCIII Advisor Agreement</w:t>
      </w:r>
    </w:p>
    <w:bookmarkStart w:id="9" w:name="advisor-agreement"/>
    <w:p>
      <w:pPr>
        <w:pStyle w:val="Heading2"/>
      </w:pPr>
      <w:r>
        <w:t xml:space="preserve">Advisor Agreement</w:t>
      </w:r>
    </w:p>
    <w:p>
      <w:pPr>
        <w:pStyle w:val="FirstParagraph"/>
      </w:pPr>
      <w:r>
        <w:t xml:space="preserve">This Advisor Agreement (this</w:t>
      </w:r>
      <w:r>
        <w:t xml:space="preserve"> </w:t>
      </w:r>
      <w:r>
        <w:t xml:space="preserve">“Agreement”</w:t>
      </w:r>
      <w:r>
        <w:t xml:space="preserve">) is entered into as of {{agreement_date}} (the</w:t>
      </w:r>
      <w:r>
        <w:t xml:space="preserve"> </w:t>
      </w:r>
      <w:r>
        <w:t xml:space="preserve">“Effective Date”</w:t>
      </w:r>
      <w:r>
        <w:t xml:space="preserve">) by and between SOCIII, Inc., a Delaware corporation with its principal place of business at 1810 E Sahara Avenue, Suite 75942, Las Vegas, NV 89104 (the</w:t>
      </w:r>
      <w:r>
        <w:t xml:space="preserve"> </w:t>
      </w:r>
      <w:r>
        <w:t xml:space="preserve">“Company”</w:t>
      </w:r>
      <w:r>
        <w:t xml:space="preserve">), and {{advisor_name}}, an individual residing at {{advisor_address}} (the</w:t>
      </w:r>
      <w:r>
        <w:t xml:space="preserve"> </w:t>
      </w:r>
      <w:r>
        <w:t xml:space="preserve">“Advisor”</w:t>
      </w:r>
      <w:r>
        <w:t xml:space="preserve">). The Company and the Advisor are referred to herein individually as a</w:t>
      </w:r>
      <w:r>
        <w:t xml:space="preserve"> </w:t>
      </w:r>
      <w:r>
        <w:t xml:space="preserve">“Party”</w:t>
      </w:r>
      <w:r>
        <w:t xml:space="preserve"> </w:t>
      </w:r>
      <w:r>
        <w:t xml:space="preserve">and collectively as the</w:t>
      </w:r>
      <w:r>
        <w:t xml:space="preserve"> </w:t>
      </w:r>
      <w:r>
        <w:t xml:space="preserve">“Parties.”</w:t>
      </w:r>
    </w:p>
    <w:p>
      <w:pPr>
        <w:pStyle w:val="BodyText"/>
      </w:pPr>
      <w:r>
        <w:t xml:space="preserve">The Parties acknowledge that this Agreement is modeled on the Founder Institute Founder/Advisor Standard Template (FAST) Agreement, version 2, and is intended to set forth a clear, fair, and customary framework for an early-stage advisory relationship.</w:t>
      </w:r>
    </w:p>
    <w:bookmarkEnd w:id="9"/>
    <w:bookmarkStart w:id="10" w:name="services"/>
    <w:p>
      <w:pPr>
        <w:pStyle w:val="Heading2"/>
      </w:pPr>
      <w:r>
        <w:t xml:space="preserve">1. Services</w:t>
      </w:r>
    </w:p>
    <w:p>
      <w:pPr>
        <w:numPr>
          <w:ilvl w:val="0"/>
          <w:numId w:val="1001"/>
        </w:numPr>
      </w:pPr>
      <w:r>
        <w:rPr>
          <w:b/>
          <w:bCs/>
        </w:rPr>
        <w:t xml:space="preserve">Advisory Services.</w:t>
      </w:r>
      <w:r>
        <w:t xml:space="preserve"> </w:t>
      </w:r>
      <w:r>
        <w:t xml:space="preserve">During the term of this Agreement, the Advisor shall provide the Company with advisory services on the matters described in</w:t>
      </w:r>
      <w:r>
        <w:t xml:space="preserve"> </w:t>
      </w:r>
      <w:r>
        <w:rPr>
          <w:b/>
          <w:bCs/>
        </w:rPr>
        <w:t xml:space="preserve">Exhibit A</w:t>
      </w:r>
      <w:r>
        <w:t xml:space="preserve"> </w:t>
      </w:r>
      <w:r>
        <w:t xml:space="preserve">and on such other matters as the Company may reasonably request from time to time (collectively, the</w:t>
      </w:r>
      <w:r>
        <w:t xml:space="preserve"> </w:t>
      </w:r>
      <w:r>
        <w:t xml:space="preserve">“Services”</w:t>
      </w:r>
      <w:r>
        <w:t xml:space="preserve">). The Services shall be performed on an as-needed basis and may include, without limitation: (i) being reasonably available for telephone, video, or in-person consultations; (ii) attending a reasonable number of meetings with the Company’s officers, directors, employees, prospective investors, customers, and partners; (iii) reviewing the Company’s strategic plans, product roadmaps, pitch materials, or other artifacts that the Company may submit for the Advisor’s input; and (iv) introducing the Company, where appropriate and consistent with the Advisor’s other commitments, to relevant members of the Advisor’s professional network.</w:t>
      </w:r>
    </w:p>
    <w:p>
      <w:pPr>
        <w:numPr>
          <w:ilvl w:val="0"/>
          <w:numId w:val="1001"/>
        </w:numPr>
      </w:pPr>
      <w:r>
        <w:rPr>
          <w:b/>
          <w:bCs/>
        </w:rPr>
        <w:t xml:space="preserve">Response Standard.</w:t>
      </w:r>
      <w:r>
        <w:t xml:space="preserve"> </w:t>
      </w:r>
      <w:r>
        <w:t xml:space="preserve">The Advisor shall use commercially reasonable efforts to respond to inquiries from the Company within five (5) business days of receipt. The Advisor shall perform the Services in a professional and workmanlike manner consistent with prevailing industry standards.</w:t>
      </w:r>
    </w:p>
    <w:p>
      <w:pPr>
        <w:numPr>
          <w:ilvl w:val="0"/>
          <w:numId w:val="1001"/>
        </w:numPr>
      </w:pPr>
      <w:r>
        <w:rPr>
          <w:b/>
          <w:bCs/>
        </w:rPr>
        <w:t xml:space="preserve">Scope.</w:t>
      </w:r>
      <w:r>
        <w:t xml:space="preserve"> </w:t>
      </w:r>
      <w:r>
        <w:t xml:space="preserve">The scope, schedule, and form of the Services shall be determined by mutual agreement of the Parties, with the Company’s reasonable requests serving as the principal driver of priority. The Advisor is not expected to dedicate any minimum number of hours per week or per month to the Company, but the Parties anticipate that the Advisor will devote sufficient time and attention to render the Services meaningful.</w:t>
      </w:r>
    </w:p>
    <w:bookmarkEnd w:id="10"/>
    <w:bookmarkStart w:id="11" w:name="compensation"/>
    <w:p>
      <w:pPr>
        <w:pStyle w:val="Heading2"/>
      </w:pPr>
      <w:r>
        <w:t xml:space="preserve">2. Compensation</w:t>
      </w:r>
    </w:p>
    <w:p>
      <w:pPr>
        <w:numPr>
          <w:ilvl w:val="0"/>
          <w:numId w:val="1002"/>
        </w:numPr>
      </w:pPr>
      <w:r>
        <w:rPr>
          <w:b/>
          <w:bCs/>
        </w:rPr>
        <w:t xml:space="preserve">Equity Grant.</w:t>
      </w:r>
      <w:r>
        <w:t xml:space="preserve"> </w:t>
      </w:r>
      <w:r>
        <w:t xml:space="preserve">As the sole compensation for the Services, and subject to approval by the Company’s Board of Directors (the</w:t>
      </w:r>
      <w:r>
        <w:t xml:space="preserve"> </w:t>
      </w:r>
      <w:r>
        <w:t xml:space="preserve">“Board”</w:t>
      </w:r>
      <w:r>
        <w:t xml:space="preserve">) and the Advisor’s execution of the Company’s standard form of Stock Option Agreement under the Company’s equity incentive plan (the</w:t>
      </w:r>
      <w:r>
        <w:t xml:space="preserve"> </w:t>
      </w:r>
      <w:r>
        <w:t xml:space="preserve">“Plan”</w:t>
      </w:r>
      <w:r>
        <w:t xml:space="preserve">), the Company shall grant to the Advisor an option (the</w:t>
      </w:r>
      <w:r>
        <w:t xml:space="preserve"> </w:t>
      </w:r>
      <w:r>
        <w:t xml:space="preserve">“Option”</w:t>
      </w:r>
      <w:r>
        <w:t xml:space="preserve">) to purchase a number of shares of the Company’s common stock equal to {{equity_pct}} of the Company’s fully-diluted common stock as of the Effective Date (the</w:t>
      </w:r>
      <w:r>
        <w:t xml:space="preserve"> </w:t>
      </w:r>
      <w:r>
        <w:t xml:space="preserve">“Option Shares”</w:t>
      </w:r>
      <w:r>
        <w:t xml:space="preserve">). For purposes of this Agreement,</w:t>
      </w:r>
      <w:r>
        <w:t xml:space="preserve"> </w:t>
      </w:r>
      <w:r>
        <w:t xml:space="preserve">“fully-diluted”</w:t>
      </w:r>
      <w:r>
        <w:t xml:space="preserve"> </w:t>
      </w:r>
      <w:r>
        <w:t xml:space="preserve">means the total number of shares of common stock outstanding, assuming the conversion of all outstanding convertible securities, the exercise of all outstanding options and warrants, and the issuance of all shares reserved but unissued under the Plan.</w:t>
      </w:r>
    </w:p>
    <w:p>
      <w:pPr>
        <w:numPr>
          <w:ilvl w:val="0"/>
          <w:numId w:val="1002"/>
        </w:numPr>
      </w:pPr>
      <w:r>
        <w:rPr>
          <w:b/>
          <w:bCs/>
        </w:rPr>
        <w:t xml:space="preserve">Strike Price.</w:t>
      </w:r>
      <w:r>
        <w:t xml:space="preserve"> </w:t>
      </w:r>
      <w:r>
        <w:t xml:space="preserve">The exercise price per share of the Option shall be $0.001, which the Parties believe to be the fair market value of a share of the Company’s common stock as of the Effective Date based on the Board’s good-faith determination. If the Board determines a different fair market value at the time of grant, the exercise price shall be adjusted accordingly to reflect such determination and to comply with applicable tax law.</w:t>
      </w:r>
    </w:p>
    <w:p>
      <w:pPr>
        <w:numPr>
          <w:ilvl w:val="0"/>
          <w:numId w:val="1002"/>
        </w:numPr>
      </w:pPr>
      <w:r>
        <w:rPr>
          <w:b/>
          <w:bCs/>
        </w:rPr>
        <w:t xml:space="preserve">Vesting Schedule.</w:t>
      </w:r>
      <w:r>
        <w:t xml:space="preserve"> </w:t>
      </w:r>
      <w:r>
        <w:t xml:space="preserve">The Option Shares shall vest in equal monthly installments over a period of {{vesting_months}} months commencing on the Effective Date, subject to a cliff such that no Option Shares shall vest prior to the {{cliff_months}}-month anniversary of the Effective Date. Upon such anniversary, a cumulative amount equal to {{cliff_months}} months of vesting shall vest, and the remaining Option Shares shall vest in equal monthly installments thereafter. Vesting is contingent on the Advisor’s continuous performance of the Services through each applicable vesting date.</w:t>
      </w:r>
    </w:p>
    <w:p>
      <w:pPr>
        <w:numPr>
          <w:ilvl w:val="0"/>
          <w:numId w:val="1002"/>
        </w:numPr>
      </w:pPr>
      <w:r>
        <w:rPr>
          <w:b/>
          <w:bCs/>
        </w:rPr>
        <w:t xml:space="preserve">No Cash Compensation; Reimbursement.</w:t>
      </w:r>
      <w:r>
        <w:t xml:space="preserve"> </w:t>
      </w:r>
      <w:r>
        <w:t xml:space="preserve">Except as expressly set forth in this Agreement, the Advisor shall not be entitled to any cash compensation for the Services. The Company shall reimburse the Advisor for reasonable, pre-approved out-of-pocket expenses incurred in connection with the Services, subject to the Company’s standard expense reimbursement policies and the Advisor’s submission of customary documentation.</w:t>
      </w:r>
    </w:p>
    <w:bookmarkEnd w:id="11"/>
    <w:bookmarkStart w:id="12" w:name="acceleration-on-change-of-control"/>
    <w:p>
      <w:pPr>
        <w:pStyle w:val="Heading2"/>
      </w:pPr>
      <w:r>
        <w:t xml:space="preserve">3. Acceleration on Change of Control</w:t>
      </w:r>
    </w:p>
    <w:p>
      <w:pPr>
        <w:pStyle w:val="FirstParagraph"/>
      </w:pPr>
      <w:r>
        <w:t xml:space="preserve">Notwithstanding the vesting schedule set forth in Section 2(c), in the event of a Change of Control (as defined in the Plan, or if not defined in the Plan, as defined in customary single-trigger acceleration provisions for early-stage Delaware corporations), one hundred percent (100%) of the then-unvested Option Shares shall vest in full immediately prior to the consummation of such Change of Control. This single-trigger acceleration applies only to the Option granted under this Agreement and to any additional grants made under Section 4 below.</w:t>
      </w:r>
    </w:p>
    <w:bookmarkEnd w:id="12"/>
    <w:bookmarkStart w:id="13" w:name="worker-linked-equity-bonus"/>
    <w:p>
      <w:pPr>
        <w:pStyle w:val="Heading2"/>
      </w:pPr>
      <w:r>
        <w:t xml:space="preserve">4. Worker-Linked Equity Bonus</w:t>
      </w:r>
    </w:p>
    <w:p>
      <w:pPr>
        <w:pStyle w:val="FirstParagraph"/>
      </w:pPr>
      <w:r>
        <w:rPr>
          <w:b/>
          <w:bCs/>
        </w:rPr>
        <w:t xml:space="preserve">Worker-Linked Equity Bonus.</w:t>
      </w:r>
      <w:r>
        <w:t xml:space="preserve"> </w:t>
      </w:r>
      <w:r>
        <w:t xml:space="preserve">For each Digital Worker that Advisor materially contributes to the SOCIII catalog (defined as substantive subject-matter expertise, ruleset authorship, or quality-gate review, in each case acknowledged in writing by the Company as CEO), Advisor shall receive an additional grant of 0.5% of fully-diluted common stock on the same vesting schedule as the base grant, capped at an aggregate total of 2.5% of fully-diluted common stock across all worker contributions.</w:t>
      </w:r>
    </w:p>
    <w:p>
      <w:pPr>
        <w:pStyle w:val="BodyText"/>
      </w:pPr>
      <w:r>
        <w:t xml:space="preserve">Each additional grant under this Section 4 shall be subject to (i) Board approval, (ii) the Advisor’s execution of the Company’s standard form of Stock Option Agreement under the Plan, and (iii) the same exercise price, vesting, acceleration, and termination provisions that govern the base Option Shares granted under Section 2, with the vesting commencement date for each additional grant being the date of written acknowledgement by the Company.</w:t>
      </w:r>
    </w:p>
    <w:bookmarkEnd w:id="13"/>
    <w:bookmarkStart w:id="14" w:name="independent-contractor-status"/>
    <w:p>
      <w:pPr>
        <w:pStyle w:val="Heading2"/>
      </w:pPr>
      <w:r>
        <w:t xml:space="preserve">5. Independent Contractor Status</w:t>
      </w:r>
    </w:p>
    <w:p>
      <w:pPr>
        <w:numPr>
          <w:ilvl w:val="0"/>
          <w:numId w:val="1003"/>
        </w:numPr>
      </w:pPr>
      <w:r>
        <w:rPr>
          <w:b/>
          <w:bCs/>
        </w:rPr>
        <w:t xml:space="preserve">Relationship of the Parties.</w:t>
      </w:r>
      <w:r>
        <w:t xml:space="preserve"> </w:t>
      </w:r>
      <w:r>
        <w:t xml:space="preserve">The Advisor is an independent contractor and not an employee, partner, joint venturer, or agent of the Company. Nothing in this Agreement shall be construed to create an employment, partnership, joint-venture, or agency relationship between the Parties. The Advisor shall have no authority to bind the Company or to incur any liability on behalf of the Company without the Company’s prior written consent.</w:t>
      </w:r>
    </w:p>
    <w:p>
      <w:pPr>
        <w:numPr>
          <w:ilvl w:val="0"/>
          <w:numId w:val="1003"/>
        </w:numPr>
      </w:pPr>
      <w:r>
        <w:rPr>
          <w:b/>
          <w:bCs/>
        </w:rPr>
        <w:t xml:space="preserve">No Benefits.</w:t>
      </w:r>
      <w:r>
        <w:t xml:space="preserve"> </w:t>
      </w:r>
      <w:r>
        <w:t xml:space="preserve">The Advisor shall not be eligible for, and shall not participate in, any employee benefit plans or programs of the Company, including without limitation health insurance, retirement plans, paid time off, or workers’ compensation coverage (except as required by applicable law).</w:t>
      </w:r>
    </w:p>
    <w:p>
      <w:pPr>
        <w:numPr>
          <w:ilvl w:val="0"/>
          <w:numId w:val="1003"/>
        </w:numPr>
      </w:pPr>
      <w:r>
        <w:rPr>
          <w:b/>
          <w:bCs/>
        </w:rPr>
        <w:t xml:space="preserve">Taxes.</w:t>
      </w:r>
      <w:r>
        <w:t xml:space="preserve"> </w:t>
      </w:r>
      <w:r>
        <w:t xml:space="preserve">The Advisor shall be solely responsible for the payment of all taxes, withholdings, and other governmental charges relating to the compensation paid or granted under this Agreement. The Company shall not withhold any amounts from the compensation paid to the Advisor and shall report payments to the Advisor on IRS Form 1099 or such other form as may be required by applicable law.</w:t>
      </w:r>
    </w:p>
    <w:p>
      <w:pPr>
        <w:numPr>
          <w:ilvl w:val="0"/>
          <w:numId w:val="1003"/>
        </w:numPr>
      </w:pPr>
      <w:r>
        <w:rPr>
          <w:b/>
          <w:bCs/>
        </w:rPr>
        <w:t xml:space="preserve">Control of Means and Methods.</w:t>
      </w:r>
      <w:r>
        <w:t xml:space="preserve"> </w:t>
      </w:r>
      <w:r>
        <w:t xml:space="preserve">The Advisor shall control the means, methods, and manner of performing the Services, subject to the reasonable directions of the Company as to the desired outcome of the Services. The Advisor may perform the Services at such times and locations as the Advisor deems appropriate, provided that the Advisor remains reasonably available to the Company as contemplated by Section 1.</w:t>
      </w:r>
    </w:p>
    <w:bookmarkEnd w:id="14"/>
    <w:bookmarkStart w:id="15" w:name="confidentiality"/>
    <w:p>
      <w:pPr>
        <w:pStyle w:val="Heading2"/>
      </w:pPr>
      <w:r>
        <w:t xml:space="preserve">6. Confidentiality</w:t>
      </w:r>
    </w:p>
    <w:p>
      <w:pPr>
        <w:numPr>
          <w:ilvl w:val="0"/>
          <w:numId w:val="1004"/>
        </w:numPr>
      </w:pPr>
      <w:r>
        <w:rPr>
          <w:b/>
          <w:bCs/>
        </w:rPr>
        <w:t xml:space="preserve">Confidential Information.</w:t>
      </w:r>
      <w:r>
        <w:t xml:space="preserve"> </w:t>
      </w:r>
      <w:r>
        <w:t xml:space="preserve">“Confidential Information”</w:t>
      </w:r>
      <w:r>
        <w:t xml:space="preserve"> </w:t>
      </w:r>
      <w:r>
        <w:t xml:space="preserve">means all non-public information disclosed by the Company to the Advisor, whether orally, in writing, or by inspection of tangible objects, including without limitation business plans, product roadmaps, source code, technical specifications, customer and prospect lists, financial information, ruleset designs, model architectures, training data, partner relationships, and any other information that a reasonable person would understand to be confidential under the circumstances.</w:t>
      </w:r>
    </w:p>
    <w:p>
      <w:pPr>
        <w:numPr>
          <w:ilvl w:val="0"/>
          <w:numId w:val="1004"/>
        </w:numPr>
      </w:pPr>
      <w:r>
        <w:rPr>
          <w:b/>
          <w:bCs/>
        </w:rPr>
        <w:t xml:space="preserve">Obligations.</w:t>
      </w:r>
      <w:r>
        <w:t xml:space="preserve"> </w:t>
      </w:r>
      <w:r>
        <w:t xml:space="preserve">The Advisor shall (i) hold all Confidential Information in strict confidence, (ii) not disclose any Confidential Information to any third party without the prior written consent of the Company, and (iii) not use any Confidential Information for any purpose other than the performance of the Services. The Advisor shall protect the Confidential Information using at least the same degree of care that the Advisor uses to protect the Advisor’s own confidential information of similar importance, and in no event less than reasonable care.</w:t>
      </w:r>
    </w:p>
    <w:p>
      <w:pPr>
        <w:numPr>
          <w:ilvl w:val="0"/>
          <w:numId w:val="1004"/>
        </w:numPr>
      </w:pPr>
      <w:r>
        <w:rPr>
          <w:b/>
          <w:bCs/>
        </w:rPr>
        <w:t xml:space="preserve">Exclusions.</w:t>
      </w:r>
      <w:r>
        <w:t xml:space="preserve"> </w:t>
      </w:r>
      <w:r>
        <w:t xml:space="preserve">The obligations in this Section 6 do not apply to information that the Advisor can demonstrate by written records: (i) was in the Advisor’s possession without confidentiality obligation prior to disclosure by the Company; (ii) is or becomes publicly available through no fault of the Advisor; (iii) is rightfully received by the Advisor from a third party without confidentiality obligation; or (iv) is independently developed by the Advisor without reference to or use of the Confidential Information. The Advisor may also disclose Confidential Information to the extent required by law or by a valid order of a court or governmental authority, provided that the Advisor gives the Company prompt written notice and reasonable cooperation in seeking a protective order.</w:t>
      </w:r>
    </w:p>
    <w:p>
      <w:pPr>
        <w:numPr>
          <w:ilvl w:val="0"/>
          <w:numId w:val="1004"/>
        </w:numPr>
      </w:pPr>
      <w:r>
        <w:rPr>
          <w:b/>
          <w:bCs/>
        </w:rPr>
        <w:t xml:space="preserve">Survival.</w:t>
      </w:r>
      <w:r>
        <w:t xml:space="preserve"> </w:t>
      </w:r>
      <w:r>
        <w:t xml:space="preserve">The Advisor’s obligations under this Section 6 shall survive the termination or expiration of this Agreement for a period of three (3) years; provided, however, that with respect to any Confidential Information that constitutes a trade secret under applicable law, the Advisor’s obligations shall continue for so long as such information remains a trade secret.</w:t>
      </w:r>
    </w:p>
    <w:bookmarkEnd w:id="15"/>
    <w:bookmarkStart w:id="16" w:name="intellectual-property"/>
    <w:p>
      <w:pPr>
        <w:pStyle w:val="Heading2"/>
      </w:pPr>
      <w:r>
        <w:t xml:space="preserve">7. Intellectual Property</w:t>
      </w:r>
    </w:p>
    <w:p>
      <w:pPr>
        <w:numPr>
          <w:ilvl w:val="0"/>
          <w:numId w:val="1005"/>
        </w:numPr>
      </w:pPr>
      <w:r>
        <w:rPr>
          <w:b/>
          <w:bCs/>
        </w:rPr>
        <w:t xml:space="preserve">Assignment.</w:t>
      </w:r>
      <w:r>
        <w:t xml:space="preserve"> </w:t>
      </w:r>
      <w:r>
        <w:t xml:space="preserve">The Advisor hereby irrevocably assigns to the Company all right, title, and interest, including all intellectual property rights, in and to any and all work product, deliverables, ideas, concepts, inventions, improvements, designs, processes, methods, software, documentation, and other materials that the Advisor conceives, creates, develops, or reduces to practice, alone or with others, in the course of performing the Services or that result from or relate to the Services (collectively, the</w:t>
      </w:r>
      <w:r>
        <w:t xml:space="preserve"> </w:t>
      </w:r>
      <w:r>
        <w:t xml:space="preserve">“Work Product”</w:t>
      </w:r>
      <w:r>
        <w:t xml:space="preserve">). The Advisor agrees to execute such further documents and take such further actions as the Company may reasonably request to perfect, evidence, or record the Company’s ownership of the Work Product.</w:t>
      </w:r>
    </w:p>
    <w:p>
      <w:pPr>
        <w:numPr>
          <w:ilvl w:val="0"/>
          <w:numId w:val="1005"/>
        </w:numPr>
      </w:pPr>
      <w:r>
        <w:rPr>
          <w:b/>
          <w:bCs/>
        </w:rPr>
        <w:t xml:space="preserve">Pre-Existing IP.</w:t>
      </w:r>
      <w:r>
        <w:t xml:space="preserve"> </w:t>
      </w:r>
      <w:r>
        <w:t xml:space="preserve">The assignment in Section 7(a) does not extend to any intellectual property that the Advisor owned, developed, or acquired prior to the Effective Date and that is listed on</w:t>
      </w:r>
      <w:r>
        <w:t xml:space="preserve"> </w:t>
      </w:r>
      <w:r>
        <w:rPr>
          <w:b/>
          <w:bCs/>
        </w:rPr>
        <w:t xml:space="preserve">Exhibit B</w:t>
      </w:r>
      <w:r>
        <w:t xml:space="preserve"> </w:t>
      </w:r>
      <w:r>
        <w:t xml:space="preserve">(</w:t>
      </w:r>
      <w:r>
        <w:t xml:space="preserve">“Pre-Existing IP”</w:t>
      </w:r>
      <w:r>
        <w:t xml:space="preserve">). If the Advisor incorporates any Pre-Existing IP into the Work Product, the Advisor hereby grants the Company a perpetual, worldwide, royalty-free, non-exclusive, sublicensable license to use, reproduce, modify, distribute, and create derivative works of such Pre-Existing IP solely as incorporated in the Work Product and any natural extensions thereof.</w:t>
      </w:r>
    </w:p>
    <w:p>
      <w:pPr>
        <w:numPr>
          <w:ilvl w:val="0"/>
          <w:numId w:val="1005"/>
        </w:numPr>
      </w:pPr>
      <w:r>
        <w:rPr>
          <w:b/>
          <w:bCs/>
        </w:rPr>
        <w:t xml:space="preserve">Future Inventions.</w:t>
      </w:r>
      <w:r>
        <w:t xml:space="preserve"> </w:t>
      </w:r>
      <w:r>
        <w:t xml:space="preserve">With respect to any invention, work product, or intellectual property that the Advisor conceives, creates, develops, or reduces to practice after the Effective Date that is not part of the Work Product and that does not result from or relate to the Services, the Advisor retains all right, title, and interest, and nothing in this Agreement shall be construed as an assignment, license, or other transfer of such intellectual property to the Company.</w:t>
      </w:r>
    </w:p>
    <w:p>
      <w:pPr>
        <w:numPr>
          <w:ilvl w:val="0"/>
          <w:numId w:val="1005"/>
        </w:numPr>
      </w:pPr>
      <w:r>
        <w:rPr>
          <w:b/>
          <w:bCs/>
        </w:rPr>
        <w:t xml:space="preserve">Moral Rights.</w:t>
      </w:r>
      <w:r>
        <w:t xml:space="preserve"> </w:t>
      </w:r>
      <w:r>
        <w:t xml:space="preserve">To the extent that any moral rights or similar rights cannot be assigned under applicable law, the Advisor hereby waives such rights and consents to any action of the Company that would otherwise violate such rights, in each case to the maximum extent permitted by applicable law.</w:t>
      </w:r>
    </w:p>
    <w:bookmarkEnd w:id="16"/>
    <w:bookmarkStart w:id="17" w:name="no-conflict-disclosure-of-other-roles"/>
    <w:p>
      <w:pPr>
        <w:pStyle w:val="Heading2"/>
      </w:pPr>
      <w:r>
        <w:t xml:space="preserve">8. No Conflict; Disclosure of Other Roles</w:t>
      </w:r>
    </w:p>
    <w:p>
      <w:pPr>
        <w:numPr>
          <w:ilvl w:val="0"/>
          <w:numId w:val="1006"/>
        </w:numPr>
      </w:pPr>
      <w:r>
        <w:rPr>
          <w:b/>
          <w:bCs/>
        </w:rPr>
        <w:t xml:space="preserve">No Conflicting Commitments.</w:t>
      </w:r>
      <w:r>
        <w:t xml:space="preserve"> </w:t>
      </w:r>
      <w:r>
        <w:t xml:space="preserve">The Advisor represents and warrants that the Advisor is not a party to any agreement, and is not subject to any obligation, that would prevent, restrict, or interfere with the Advisor’s ability to perform the Services or to grant the rights granted to the Company under this Agreement.</w:t>
      </w:r>
    </w:p>
    <w:p>
      <w:pPr>
        <w:numPr>
          <w:ilvl w:val="0"/>
          <w:numId w:val="1006"/>
        </w:numPr>
      </w:pPr>
      <w:r>
        <w:rPr>
          <w:b/>
          <w:bCs/>
        </w:rPr>
        <w:t xml:space="preserve">Disclosure.</w:t>
      </w:r>
      <w:r>
        <w:t xml:space="preserve"> </w:t>
      </w:r>
      <w:r>
        <w:t xml:space="preserve">The Advisor shall promptly disclose to the Company any current or future board, advisor, consulting, or employment relationship with any company that is, or may reasonably be expected to become, a competitor of the Company. The Company acknowledges that the Advisor may serve as an advisor, board member, or consultant to other companies, and that such service does not, in and of itself, constitute a breach of this Agreement so long as it does not materially conflict with the Services or the Company’s interests.</w:t>
      </w:r>
    </w:p>
    <w:p>
      <w:pPr>
        <w:numPr>
          <w:ilvl w:val="0"/>
          <w:numId w:val="1006"/>
        </w:numPr>
      </w:pPr>
      <w:r>
        <w:rPr>
          <w:b/>
          <w:bCs/>
        </w:rPr>
        <w:t xml:space="preserve">No Use of Third-Party IP.</w:t>
      </w:r>
      <w:r>
        <w:t xml:space="preserve"> </w:t>
      </w:r>
      <w:r>
        <w:t xml:space="preserve">The Advisor shall not use, in the performance of the Services or in any Work Product, any intellectual property of any third party (including any former or current employer of the Advisor) without authorization to do so.</w:t>
      </w:r>
    </w:p>
    <w:bookmarkEnd w:id="17"/>
    <w:bookmarkStart w:id="18" w:name="term-and-termination"/>
    <w:p>
      <w:pPr>
        <w:pStyle w:val="Heading2"/>
      </w:pPr>
      <w:r>
        <w:t xml:space="preserve">9. Term and Termination</w:t>
      </w:r>
    </w:p>
    <w:p>
      <w:pPr>
        <w:numPr>
          <w:ilvl w:val="0"/>
          <w:numId w:val="1007"/>
        </w:numPr>
      </w:pPr>
      <w:r>
        <w:rPr>
          <w:b/>
          <w:bCs/>
        </w:rPr>
        <w:t xml:space="preserve">Term.</w:t>
      </w:r>
      <w:r>
        <w:t xml:space="preserve"> </w:t>
      </w:r>
      <w:r>
        <w:t xml:space="preserve">This Agreement shall commence on the Effective Date and shall continue until terminated in accordance with this Section 9 (the</w:t>
      </w:r>
      <w:r>
        <w:t xml:space="preserve"> </w:t>
      </w:r>
      <w:r>
        <w:t xml:space="preserve">“Term”</w:t>
      </w:r>
      <w:r>
        <w:t xml:space="preserve">).</w:t>
      </w:r>
    </w:p>
    <w:p>
      <w:pPr>
        <w:numPr>
          <w:ilvl w:val="0"/>
          <w:numId w:val="1007"/>
        </w:numPr>
      </w:pPr>
      <w:r>
        <w:rPr>
          <w:b/>
          <w:bCs/>
        </w:rPr>
        <w:t xml:space="preserve">Termination at Will.</w:t>
      </w:r>
      <w:r>
        <w:t xml:space="preserve"> </w:t>
      </w:r>
      <w:r>
        <w:t xml:space="preserve">Either Party may terminate this Agreement at any time, with or without cause, by giving the other Party thirty (30) days’ prior written notice.</w:t>
      </w:r>
    </w:p>
    <w:p>
      <w:pPr>
        <w:numPr>
          <w:ilvl w:val="0"/>
          <w:numId w:val="1007"/>
        </w:numPr>
      </w:pPr>
      <w:r>
        <w:rPr>
          <w:b/>
          <w:bCs/>
        </w:rPr>
        <w:t xml:space="preserve">Effect of Termination on Vesting.</w:t>
      </w:r>
      <w:r>
        <w:t xml:space="preserve"> </w:t>
      </w:r>
      <w:r>
        <w:t xml:space="preserve">Upon termination of this Agreement for any reason, the Advisor shall cease to vest in any unvested Option Shares as of the effective date of termination. Vested Option Shares shall remain exercisable in accordance with the terms of the Plan and the applicable Stock Option Agreement.</w:t>
      </w:r>
    </w:p>
    <w:p>
      <w:pPr>
        <w:numPr>
          <w:ilvl w:val="0"/>
          <w:numId w:val="1007"/>
        </w:numPr>
      </w:pPr>
      <w:r>
        <w:rPr>
          <w:b/>
          <w:bCs/>
        </w:rPr>
        <w:t xml:space="preserve">Exercise Window.</w:t>
      </w:r>
      <w:r>
        <w:t xml:space="preserve"> </w:t>
      </w:r>
      <w:r>
        <w:t xml:space="preserve">The Advisor shall have ninety (90) days following the effective date of termination to exercise any vested portion of the Option, after which any unexercised portion shall terminate and be forfeited, in each case subject to the terms of the Plan and any earlier expiration of the Option in accordance with its terms.</w:t>
      </w:r>
    </w:p>
    <w:p>
      <w:pPr>
        <w:numPr>
          <w:ilvl w:val="0"/>
          <w:numId w:val="1007"/>
        </w:numPr>
      </w:pPr>
      <w:r>
        <w:rPr>
          <w:b/>
          <w:bCs/>
        </w:rPr>
        <w:t xml:space="preserve">Survival.</w:t>
      </w:r>
      <w:r>
        <w:t xml:space="preserve"> </w:t>
      </w:r>
      <w:r>
        <w:t xml:space="preserve">The provisions of Sections 5 (Independent Contractor Status), 6 (Confidentiality), 7 (Intellectual Property), 9(c)-(e) (Termination Effects and Survival), 10 (Miscellaneous), and any other provisions that by their nature should survive, shall survive any termination or expiration of this Agreement.</w:t>
      </w:r>
    </w:p>
    <w:bookmarkEnd w:id="18"/>
    <w:bookmarkStart w:id="19" w:name="miscellaneous"/>
    <w:p>
      <w:pPr>
        <w:pStyle w:val="Heading2"/>
      </w:pPr>
      <w:r>
        <w:t xml:space="preserve">10. Miscellaneous</w:t>
      </w:r>
    </w:p>
    <w:p>
      <w:pPr>
        <w:numPr>
          <w:ilvl w:val="0"/>
          <w:numId w:val="1008"/>
        </w:numPr>
      </w:pPr>
      <w:r>
        <w:rPr>
          <w:b/>
          <w:bCs/>
        </w:rPr>
        <w:t xml:space="preserve">Governing Law.</w:t>
      </w:r>
      <w:r>
        <w:t xml:space="preserve"> </w:t>
      </w:r>
      <w:r>
        <w:t xml:space="preserve">This Agreement shall be governed by and construed in accordance with the laws of the State of Delaware, without regard to its conflict-of-laws principles.</w:t>
      </w:r>
    </w:p>
    <w:p>
      <w:pPr>
        <w:numPr>
          <w:ilvl w:val="0"/>
          <w:numId w:val="1008"/>
        </w:numPr>
      </w:pPr>
      <w:r>
        <w:rPr>
          <w:b/>
          <w:bCs/>
        </w:rPr>
        <w:t xml:space="preserve">Entire Agreement.</w:t>
      </w:r>
      <w:r>
        <w:t xml:space="preserve"> </w:t>
      </w:r>
      <w:r>
        <w:t xml:space="preserve">This Agreement, together with the Plan, the Stock Option Agreement, and any exhibits hereto, constitutes the entire agreement between the Parties with respect to the subject matter hereof and supersedes all prior and contemporaneous agreements, understandings, and communications, whether written or oral, relating to such subject matter.</w:t>
      </w:r>
    </w:p>
    <w:p>
      <w:pPr>
        <w:numPr>
          <w:ilvl w:val="0"/>
          <w:numId w:val="1008"/>
        </w:numPr>
      </w:pPr>
      <w:r>
        <w:rPr>
          <w:b/>
          <w:bCs/>
        </w:rPr>
        <w:t xml:space="preserve">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and the remaining provisions of this Agreement shall remain in full force and effect.</w:t>
      </w:r>
    </w:p>
    <w:p>
      <w:pPr>
        <w:numPr>
          <w:ilvl w:val="0"/>
          <w:numId w:val="1008"/>
        </w:numPr>
      </w:pPr>
      <w:r>
        <w:rPr>
          <w:b/>
          <w:bCs/>
        </w:rPr>
        <w:t xml:space="preserve">Counterparts.</w:t>
      </w:r>
      <w:r>
        <w:t xml:space="preserve"> </w:t>
      </w:r>
      <w:r>
        <w:t xml:space="preserve">This Agreement may be executed in two or more counterparts, each of which shall be deemed an original, and all of which together shall constitute one and the same instrument.</w:t>
      </w:r>
    </w:p>
    <w:p>
      <w:pPr>
        <w:numPr>
          <w:ilvl w:val="0"/>
          <w:numId w:val="1008"/>
        </w:numPr>
      </w:pPr>
      <w:r>
        <w:rPr>
          <w:b/>
          <w:bCs/>
        </w:rPr>
        <w:t xml:space="preserve">Electronic Signature.</w:t>
      </w:r>
      <w:r>
        <w:t xml:space="preserve"> </w:t>
      </w:r>
      <w:r>
        <w:t xml:space="preserve">The Parties agree that this Agreement may be executed by electronic signature, and that an electronic signature shall have the same legal effect as a manually executed original signature.</w:t>
      </w:r>
    </w:p>
    <w:p>
      <w:pPr>
        <w:numPr>
          <w:ilvl w:val="0"/>
          <w:numId w:val="1008"/>
        </w:numPr>
      </w:pPr>
      <w:r>
        <w:rPr>
          <w:b/>
          <w:bCs/>
        </w:rPr>
        <w:t xml:space="preserve">Amendment.</w:t>
      </w:r>
      <w:r>
        <w:t xml:space="preserve"> </w:t>
      </w:r>
      <w:r>
        <w:t xml:space="preserve">No amendment, modification, or waiver of any provision of this Agreement shall be effective unless made in writing and signed by both Parties.</w:t>
      </w:r>
    </w:p>
    <w:p>
      <w:pPr>
        <w:numPr>
          <w:ilvl w:val="0"/>
          <w:numId w:val="1008"/>
        </w:numPr>
      </w:pPr>
      <w:r>
        <w:rPr>
          <w:b/>
          <w:bCs/>
        </w:rPr>
        <w:t xml:space="preserve">Assignment.</w:t>
      </w:r>
      <w:r>
        <w:t xml:space="preserve"> </w:t>
      </w:r>
      <w:r>
        <w:t xml:space="preserve">The Advisor may not assign this Agreement, in whole or in part, without the prior written consent of the Company. The Company may assign this Agreement to a successor in connection with a merger, acquisition, reorganization, or sale of all or substantially all of its assets without the consent of the Advisor.</w:t>
      </w:r>
    </w:p>
    <w:p>
      <w:pPr>
        <w:numPr>
          <w:ilvl w:val="0"/>
          <w:numId w:val="1008"/>
        </w:numPr>
      </w:pPr>
      <w:r>
        <w:rPr>
          <w:b/>
          <w:bCs/>
        </w:rPr>
        <w:t xml:space="preserve">Notices.</w:t>
      </w:r>
      <w:r>
        <w:t xml:space="preserve"> </w:t>
      </w:r>
      <w:r>
        <w:t xml:space="preserve">All notices under this Agreement shall be in writing and shall be deemed given when delivered personally, sent by confirmed electronic mail, or sent by nationally recognized overnight courier, to the addresses set forth in the preamble or to the email address {{advisor_email}} for the Advisor, or to such other address as a Party may designate by written notice.</w:t>
      </w:r>
    </w:p>
    <w:p>
      <w:pPr>
        <w:numPr>
          <w:ilvl w:val="0"/>
          <w:numId w:val="1008"/>
        </w:numPr>
      </w:pPr>
      <w:r>
        <w:rPr>
          <w:b/>
          <w:bCs/>
        </w:rPr>
        <w:t xml:space="preserve">No Waiver.</w:t>
      </w:r>
      <w:r>
        <w:t xml:space="preserve"> </w:t>
      </w:r>
      <w:r>
        <w:t xml:space="preserve">The failure of either Party to enforce any right or provision of this Agreement shall not constitute a waiver of such right or provision or of any other right or provision.</w:t>
      </w:r>
    </w:p>
    <w:p>
      <w:pPr>
        <w:numPr>
          <w:ilvl w:val="0"/>
          <w:numId w:val="1008"/>
        </w:numPr>
      </w:pPr>
      <w:r>
        <w:rPr>
          <w:b/>
          <w:bCs/>
        </w:rPr>
        <w:t xml:space="preserve">Headings.</w:t>
      </w:r>
      <w:r>
        <w:t xml:space="preserve"> </w:t>
      </w:r>
      <w:r>
        <w:t xml:space="preserve">Section headings are for convenience of reference only and shall not affect the interpretation of this Agreement.</w:t>
      </w:r>
    </w:p>
    <w:bookmarkEnd w:id="19"/>
    <w:bookmarkStart w:id="20" w:name="signatures"/>
    <w:p>
      <w:pPr>
        <w:pStyle w:val="Heading2"/>
      </w:pPr>
      <w:r>
        <w:t xml:space="preserve">Signatures</w:t>
      </w:r>
    </w:p>
    <w:p>
      <w:pPr>
        <w:pStyle w:val="FirstParagraph"/>
      </w:pPr>
      <w:r>
        <w:t xml:space="preserve">IN WITNESS WHEREOF, the Parties have executed this Agreement as of the Effective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COMPANY</w:t>
            </w:r>
          </w:p>
        </w:tc>
        <w:tc>
          <w:tcPr/>
          <w:p>
            <w:pPr>
              <w:pStyle w:val="Compact"/>
            </w:pPr>
            <w:r>
              <w:rPr>
                <w:b/>
                <w:bCs/>
              </w:rPr>
              <w:t xml:space="preserve">ADVISOR</w:t>
            </w:r>
          </w:p>
        </w:tc>
      </w:tr>
      <w:tr>
        <w:tc>
          <w:tcPr/>
          <w:p>
            <w:pPr>
              <w:pStyle w:val="Compact"/>
            </w:pPr>
            <w:r>
              <w:t xml:space="preserve">SOCIII, Inc.</w:t>
            </w:r>
          </w:p>
        </w:tc>
        <w:tc>
          <w:tcPr/>
          <w:p>
            <w:pPr>
              <w:pStyle w:val="Compact"/>
            </w:pPr>
          </w:p>
        </w:tc>
      </w:tr>
      <w:tr>
        <w:tc>
          <w:tcPr/>
          <w:p>
            <w:pPr>
              <w:pStyle w:val="Compact"/>
            </w:pPr>
          </w:p>
        </w:tc>
        <w:tc>
          <w:tcPr/>
          <w:p>
            <w:pPr>
              <w:pStyle w:val="Compact"/>
            </w:pPr>
          </w:p>
        </w:tc>
      </w:tr>
      <w:tr>
        <w:tc>
          <w:tcPr/>
          <w:p>
            <w:pPr>
              <w:pStyle w:val="Compact"/>
            </w:pPr>
            <w:r>
              <w:t xml:space="preserve">By: ______________________________</w:t>
            </w:r>
          </w:p>
        </w:tc>
        <w:tc>
          <w:tcPr/>
          <w:p>
            <w:pPr>
              <w:pStyle w:val="Compact"/>
            </w:pPr>
            <w:r>
              <w:t xml:space="preserve">____________________________</w:t>
            </w:r>
          </w:p>
        </w:tc>
      </w:tr>
      <w:tr>
        <w:tc>
          <w:tcPr/>
          <w:p>
            <w:pPr>
              <w:pStyle w:val="Compact"/>
            </w:pPr>
            <w:r>
              <w:t xml:space="preserve">Name: Sean Combs</w:t>
            </w:r>
          </w:p>
        </w:tc>
        <w:tc>
          <w:tcPr/>
          <w:p>
            <w:pPr>
              <w:pStyle w:val="Compact"/>
            </w:pPr>
            <w:r>
              <w:t xml:space="preserve">Name: {{advisor_name}}</w:t>
            </w:r>
          </w:p>
        </w:tc>
      </w:tr>
      <w:tr>
        <w:tc>
          <w:tcPr/>
          <w:p>
            <w:pPr>
              <w:pStyle w:val="Compact"/>
            </w:pPr>
            <w:r>
              <w:t xml:space="preserve">Title: Chief Executive Officer</w:t>
            </w:r>
          </w:p>
        </w:tc>
        <w:tc>
          <w:tcPr/>
          <w:p>
            <w:pPr>
              <w:pStyle w:val="Compact"/>
            </w:pPr>
            <w:r>
              <w:t xml:space="preserve">Email: {{advisor_email}}</w:t>
            </w:r>
          </w:p>
        </w:tc>
      </w:tr>
      <w:tr>
        <w:tc>
          <w:tcPr/>
          <w:p>
            <w:pPr>
              <w:pStyle w:val="Compact"/>
            </w:pPr>
            <w:r>
              <w:t xml:space="preserve">Date: ____________________________</w:t>
            </w:r>
          </w:p>
        </w:tc>
        <w:tc>
          <w:tcPr/>
          <w:p>
            <w:pPr>
              <w:pStyle w:val="Compact"/>
            </w:pPr>
            <w:r>
              <w:t xml:space="preserve">Date: ______________________</w:t>
            </w:r>
          </w:p>
        </w:tc>
      </w:tr>
    </w:tbl>
    <w:bookmarkEnd w:id="20"/>
    <w:bookmarkStart w:id="21" w:name="exhibit-a-description-of-services"/>
    <w:p>
      <w:pPr>
        <w:pStyle w:val="Heading2"/>
      </w:pPr>
      <w:r>
        <w:t xml:space="preserve">Exhibit A — Description of Services</w:t>
      </w:r>
    </w:p>
    <w:p>
      <w:pPr>
        <w:pStyle w:val="FirstParagraph"/>
      </w:pPr>
      <w:r>
        <w:t xml:space="preserve">The Advisor shall provide advisory services to the Company in the following areas:</w:t>
      </w:r>
    </w:p>
    <w:p>
      <w:pPr>
        <w:pStyle w:val="Compact"/>
        <w:numPr>
          <w:ilvl w:val="0"/>
          <w:numId w:val="1009"/>
        </w:numPr>
      </w:pPr>
      <w:r>
        <w:t xml:space="preserve">[To be completed at execution. Describe the specific subject-matter areas, expected meeting cadence, and any deliverables. Example: strategic guidance on go-to-market for the SOCIII Digital Worker catalog; ruleset review for workers within the Advisor’s area of expertise; introductions to prospective customers, partners, or investors; participation in quarterly advisory check-ins.]</w:t>
      </w:r>
    </w:p>
    <w:bookmarkEnd w:id="21"/>
    <w:bookmarkStart w:id="22" w:name="X0d0092285fb8f49faadf21e8320a089a3e7a207"/>
    <w:p>
      <w:pPr>
        <w:pStyle w:val="Heading2"/>
      </w:pPr>
      <w:r>
        <w:t xml:space="preserve">Exhibit B — Pre-Existing Intellectual Property</w:t>
      </w:r>
    </w:p>
    <w:p>
      <w:pPr>
        <w:pStyle w:val="FirstParagraph"/>
      </w:pPr>
      <w:r>
        <w:t xml:space="preserve">The following items constitute the Advisor’s Pre-Existing IP, which is excluded from the assignment in Section 7(a):</w:t>
      </w:r>
    </w:p>
    <w:p>
      <w:pPr>
        <w:pStyle w:val="Compact"/>
        <w:numPr>
          <w:ilvl w:val="0"/>
          <w:numId w:val="1010"/>
        </w:numPr>
      </w:pPr>
      <w:r>
        <w:t xml:space="preserve">[To be listed by the Advisor at execution. If none, write</w:t>
      </w:r>
      <w:r>
        <w:t xml:space="preserve"> </w:t>
      </w:r>
      <w:r>
        <w:t xml:space="preserve">“None.”</w:t>
      </w:r>
      <w:r>
        <w:t xml:space="preserv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SOCIII Advisor Agreement</dc:title>
  <dc:creator/>
  <cp:keywords/>
  <dcterms:created xsi:type="dcterms:W3CDTF">2026-05-27T06:20:43Z</dcterms:created>
  <dcterms:modified xsi:type="dcterms:W3CDTF">2026-05-27T06:20:43Z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Times New Roman</vt:lpwstr>
  </property>
</Properties>
</file>