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Employment Agreement</w:t>
      </w:r>
    </w:p>
    <w:bookmarkStart w:id="20" w:name="executive-employment-agreement"/>
    <w:p>
      <w:pPr>
        <w:pStyle w:val="Heading1"/>
      </w:pPr>
      <w:r>
        <w:t xml:space="preserve">Executive Employment Agreement</w:t>
      </w:r>
    </w:p>
    <w:p>
      <w:pPr>
        <w:pStyle w:val="FirstParagraph"/>
      </w:pPr>
      <w:r>
        <w:t xml:space="preserve">This Executive Employment Agreement (this</w:t>
      </w:r>
      <w:r>
        <w:t xml:space="preserve"> </w:t>
      </w:r>
      <w:r>
        <w:t xml:space="preserve">“Agreement”</w:t>
      </w:r>
      <w:r>
        <w:t xml:space="preserve">) is entered into as of {{agreement_date}} (the</w:t>
      </w:r>
      <w:r>
        <w:t xml:space="preserve"> </w:t>
      </w:r>
      <w:r>
        <w:t xml:space="preserve">“Effective Date”</w:t>
      </w:r>
      <w:r>
        <w:t xml:space="preserve">) by and between SOCIII, Inc., a Delaware corporation with its principal place of business at 1810 E Sahara Avenue, Suite 75942, Las Vegas, NV 89104 (the</w:t>
      </w:r>
      <w:r>
        <w:t xml:space="preserve"> </w:t>
      </w:r>
      <w:r>
        <w:t xml:space="preserve">“Company”</w:t>
      </w:r>
      <w:r>
        <w:t xml:space="preserve">), and Sean Combs (</w:t>
      </w:r>
      <w:r>
        <w:t xml:space="preserve">“Executive”</w:t>
      </w:r>
      <w:r>
        <w:t xml:space="preserve">). The Company and the Executive are each referred to herein as a</w:t>
      </w:r>
      <w:r>
        <w:t xml:space="preserve"> </w:t>
      </w:r>
      <w:r>
        <w:t xml:space="preserve">“Party”</w:t>
      </w:r>
      <w:r>
        <w:t xml:space="preserve"> </w:t>
      </w:r>
      <w:r>
        <w:t xml:space="preserve">and collectively as the</w:t>
      </w:r>
      <w:r>
        <w:t xml:space="preserve"> </w:t>
      </w:r>
      <w:r>
        <w:t xml:space="preserve">“Parties.”</w:t>
      </w:r>
    </w:p>
    <w:bookmarkStart w:id="9" w:name="position-and-duties"/>
    <w:p>
      <w:pPr>
        <w:pStyle w:val="Heading2"/>
      </w:pPr>
      <w:r>
        <w:t xml:space="preserve">1. Position and Duties</w:t>
      </w:r>
    </w:p>
    <w:p>
      <w:pPr>
        <w:numPr>
          <w:ilvl w:val="0"/>
          <w:numId w:val="1001"/>
        </w:numPr>
      </w:pPr>
      <w:r>
        <w:rPr>
          <w:b/>
          <w:bCs/>
        </w:rPr>
        <w:t xml:space="preserve">Position.</w:t>
      </w:r>
      <w:r>
        <w:t xml:space="preserve"> </w:t>
      </w:r>
      <w:r>
        <w:t xml:space="preserve">The Company hereby employs Executive as its Chief Executive Officer (</w:t>
      </w:r>
      <w:r>
        <w:t xml:space="preserve">“CEO”</w:t>
      </w:r>
      <w:r>
        <w:t xml:space="preserve">), reporting directly to the Board of Directors of the Company (the</w:t>
      </w:r>
      <w:r>
        <w:t xml:space="preserve"> </w:t>
      </w:r>
      <w:r>
        <w:t xml:space="preserve">“Board”</w:t>
      </w:r>
      <w:r>
        <w:t xml:space="preserve">). Executive shall serve as the principal executive officer of the Company and shall have the duties, responsibilities, and authority customarily associated with the CEO position of a Delaware corporation of comparable size, type, and stage.</w:t>
      </w:r>
    </w:p>
    <w:p>
      <w:pPr>
        <w:numPr>
          <w:ilvl w:val="0"/>
          <w:numId w:val="1001"/>
        </w:numPr>
      </w:pPr>
      <w:r>
        <w:rPr>
          <w:b/>
          <w:bCs/>
        </w:rPr>
        <w:t xml:space="preserve">Board Service.</w:t>
      </w:r>
      <w:r>
        <w:t xml:space="preserve"> </w:t>
      </w:r>
      <w:r>
        <w:t xml:space="preserve">Executive shall serve as a member of the Board and, at the Effective Date, as its sole director. For so long as Executive holds at least five percent (5%) of the Company’s outstanding common stock, the Company shall use commercially reasonable efforts to nominate Executive for re-election to the Board, and Executive shall be entitled to one (1) reserved Board seat. Removal of Executive from the Board during the CEO Term (defined below) shall require a supermajority of seventy-five percent (75%) of all then-serving directors.</w:t>
      </w:r>
    </w:p>
    <w:p>
      <w:pPr>
        <w:numPr>
          <w:ilvl w:val="0"/>
          <w:numId w:val="1001"/>
        </w:numPr>
      </w:pPr>
      <w:r>
        <w:rPr>
          <w:b/>
          <w:bCs/>
        </w:rPr>
        <w:t xml:space="preserve">Time Commitment.</w:t>
      </w:r>
      <w:r>
        <w:t xml:space="preserve"> </w:t>
      </w:r>
      <w:r>
        <w:t xml:space="preserve">Executive shall devote reasonable business time and attention to the affairs of the Company, consistent with the responsibilities of a CEO. The Parties acknowledge that</w:t>
      </w:r>
      <w:r>
        <w:t xml:space="preserve"> </w:t>
      </w:r>
      <w:r>
        <w:t xml:space="preserve">“reasonable business time”</w:t>
      </w:r>
      <w:r>
        <w:t xml:space="preserve"> </w:t>
      </w:r>
      <w:r>
        <w:t xml:space="preserve">does not require Executive’s exclusive attention.</w:t>
      </w:r>
    </w:p>
    <w:p>
      <w:pPr>
        <w:numPr>
          <w:ilvl w:val="0"/>
          <w:numId w:val="1001"/>
        </w:numPr>
      </w:pPr>
      <w:r>
        <w:rPr>
          <w:b/>
          <w:bCs/>
        </w:rPr>
        <w:t xml:space="preserve">Outside Activities.</w:t>
      </w:r>
      <w:r>
        <w:t xml:space="preserve"> </w:t>
      </w:r>
      <w:r>
        <w:t xml:space="preserve">Notwithstanding any other provision of this Agreement, Executive may continue to engage in outside professional activities, including without limitation continued operation as a medical evacuation (</w:t>
      </w:r>
      <w:r>
        <w:t xml:space="preserve">“medevac”</w:t>
      </w:r>
      <w:r>
        <w:t xml:space="preserve">) pilot and any other aviation-related work, provided that such activities (i) do not materially interfere with Executive’s duties to the Company, (ii) do not compete with the Company’s business of digital worker platforms, AI workflow automation, or related lines of business, and (iii) do not involve the use of Company confidential information. Executive shall disclose any new outside engagement that creates a recurring time commitment to the Board.</w:t>
      </w:r>
    </w:p>
    <w:p>
      <w:pPr>
        <w:numPr>
          <w:ilvl w:val="0"/>
          <w:numId w:val="1001"/>
        </w:numPr>
      </w:pPr>
      <w:r>
        <w:rPr>
          <w:b/>
          <w:bCs/>
        </w:rPr>
        <w:t xml:space="preserve">Location.</w:t>
      </w:r>
      <w:r>
        <w:t xml:space="preserve"> </w:t>
      </w:r>
      <w:r>
        <w:t xml:space="preserve">Executive may perform Executive’s duties from any location in the United States or abroad consistent with the Company’s operational needs. Executive shall notify the Company of any change of state of legal residence that may create payroll or tax nexus for the Company.</w:t>
      </w:r>
    </w:p>
    <w:bookmarkEnd w:id="9"/>
    <w:bookmarkStart w:id="10" w:name="term"/>
    <w:p>
      <w:pPr>
        <w:pStyle w:val="Heading2"/>
      </w:pPr>
      <w:r>
        <w:t xml:space="preserve">2. Term</w:t>
      </w:r>
    </w:p>
    <w:p>
      <w:pPr>
        <w:numPr>
          <w:ilvl w:val="0"/>
          <w:numId w:val="1002"/>
        </w:numPr>
      </w:pPr>
      <w:r>
        <w:rPr>
          <w:b/>
          <w:bCs/>
        </w:rPr>
        <w:t xml:space="preserve">CEO Term.</w:t>
      </w:r>
      <w:r>
        <w:t xml:space="preserve"> </w:t>
      </w:r>
      <w:r>
        <w:t xml:space="preserve">Subject to earlier termination as provided in Section 6, Executive’s employment as CEO shall continue for an initial guaranteed term of three (3) years from the Effective Date (the</w:t>
      </w:r>
      <w:r>
        <w:t xml:space="preserve"> </w:t>
      </w:r>
      <w:r>
        <w:t xml:space="preserve">“CEO Term”</w:t>
      </w:r>
      <w:r>
        <w:t xml:space="preserve">), through and including the third anniversary of the Effective Date. During the CEO Term, Executive’s employment may be terminated by the Company only for Cause (as defined below) or by reason of death or disability.</w:t>
      </w:r>
    </w:p>
    <w:p>
      <w:pPr>
        <w:numPr>
          <w:ilvl w:val="0"/>
          <w:numId w:val="1002"/>
        </w:numPr>
      </w:pPr>
      <w:r>
        <w:rPr>
          <w:b/>
          <w:bCs/>
        </w:rPr>
        <w:t xml:space="preserve">At-Will After CEO Term.</w:t>
      </w:r>
      <w:r>
        <w:t xml:space="preserve"> </w:t>
      </w:r>
      <w:r>
        <w:t xml:space="preserve">Upon expiration of the CEO Term, Executive’s employment shall convert to at-will employment, terminable by either Party at any time, subject to the severance and acceleration provisions of Section 6 to the extent applicable.</w:t>
      </w:r>
    </w:p>
    <w:bookmarkEnd w:id="10"/>
    <w:bookmarkStart w:id="11" w:name="compensation"/>
    <w:p>
      <w:pPr>
        <w:pStyle w:val="Heading2"/>
      </w:pPr>
      <w:r>
        <w:t xml:space="preserve">3. Compensation</w:t>
      </w:r>
    </w:p>
    <w:p>
      <w:pPr>
        <w:pStyle w:val="Compact"/>
        <w:numPr>
          <w:ilvl w:val="0"/>
          <w:numId w:val="1003"/>
        </w:numPr>
      </w:pPr>
      <w:r>
        <w:rPr>
          <w:b/>
          <w:bCs/>
        </w:rPr>
        <w:t xml:space="preserve">Base Salary — Trigger Ladder.</w:t>
      </w:r>
      <w:r>
        <w:t xml:space="preserve"> </w:t>
      </w:r>
      <w:r>
        <w:t xml:space="preserve">The Company shall pay Executive an annual base salary (the</w:t>
      </w:r>
      <w:r>
        <w:t xml:space="preserve"> </w:t>
      </w:r>
      <w:r>
        <w:t xml:space="preserve">“Base Salary”</w:t>
      </w:r>
      <w:r>
        <w:t xml:space="preserve">) according to the following schedule, with each increase triggered automatically (without further Board approval) upon the applicable Trigger Event: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 Event</w:t>
            </w:r>
          </w:p>
        </w:tc>
        <w:tc>
          <w:tcPr/>
          <w:p>
            <w:pPr>
              <w:pStyle w:val="Compact"/>
            </w:pPr>
            <w:r>
              <w:t xml:space="preserve">Annual Base Salary</w:t>
            </w:r>
          </w:p>
        </w:tc>
      </w:tr>
      <w:tr>
        <w:tc>
          <w:tcPr/>
          <w:p>
            <w:pPr>
              <w:pStyle w:val="Compact"/>
            </w:pPr>
            <w:r>
              <w:t xml:space="preserve">Effective Date through Seed Close</w:t>
            </w:r>
          </w:p>
        </w:tc>
        <w:tc>
          <w:tcPr/>
          <w:p>
            <w:pPr>
              <w:pStyle w:val="Compact"/>
            </w:pPr>
            <w:r>
              <w:t xml:space="preserve">$1.00</w:t>
            </w:r>
          </w:p>
        </w:tc>
      </w:tr>
      <w:tr>
        <w:tc>
          <w:tcPr/>
          <w:p>
            <w:pPr>
              <w:pStyle w:val="Compact"/>
            </w:pPr>
            <w:r>
              <w:t xml:space="preserve">Seed Close (defined as the closing of an equity or convertible financing round in which the Company receives aggregate gross proceeds of at least $1,000,000)</w:t>
            </w:r>
          </w:p>
        </w:tc>
        <w:tc>
          <w:tcPr/>
          <w:p>
            <w:pPr>
              <w:pStyle w:val="Compact"/>
            </w:pPr>
            <w:r>
              <w:t xml:space="preserve">$150,000</w:t>
            </w:r>
          </w:p>
        </w:tc>
      </w:tr>
      <w:tr>
        <w:tc>
          <w:tcPr/>
          <w:p>
            <w:pPr>
              <w:pStyle w:val="Compact"/>
            </w:pPr>
            <w:r>
              <w:t xml:space="preserve">Series A Close OR achievement of $250,000 in trailing-twelve-month Annual Recurring Revenue (</w:t>
            </w:r>
            <w:r>
              <w:t xml:space="preserve">“ARR”</w:t>
            </w:r>
            <w:r>
              <w:t xml:space="preserve">), whichever occurs first</w:t>
            </w:r>
          </w:p>
        </w:tc>
        <w:tc>
          <w:tcPr/>
          <w:p>
            <w:pPr>
              <w:pStyle w:val="Compact"/>
            </w:pPr>
            <w:r>
              <w:t xml:space="preserve">$175,000</w:t>
            </w:r>
          </w:p>
        </w:tc>
      </w:tr>
      <w:tr>
        <w:tc>
          <w:tcPr/>
          <w:p>
            <w:pPr>
              <w:pStyle w:val="Compact"/>
            </w:pPr>
            <w:r>
              <w:t xml:space="preserve">Series B Close OR achievement of $1,000,000 in trailing-twelve-month ARR, whichever occurs first</w:t>
            </w:r>
          </w:p>
        </w:tc>
        <w:tc>
          <w:tcPr/>
          <w:p>
            <w:pPr>
              <w:pStyle w:val="Compact"/>
            </w:pPr>
            <w:r>
              <w:t xml:space="preserve">$200,000</w:t>
            </w:r>
          </w:p>
        </w:tc>
      </w:tr>
      <w:tr>
        <w:tc>
          <w:tcPr/>
          <w:p>
            <w:pPr>
              <w:pStyle w:val="Compact"/>
            </w:pPr>
            <w:r>
              <w:t xml:space="preserve">Subsequent adjustments</w:t>
            </w:r>
          </w:p>
        </w:tc>
        <w:tc>
          <w:tcPr/>
          <w:p>
            <w:pPr>
              <w:pStyle w:val="Compact"/>
            </w:pPr>
            <w:r>
              <w:t xml:space="preserve">As approved by the Board</w:t>
            </w:r>
          </w:p>
        </w:tc>
      </w:tr>
    </w:tbl>
    <w:p>
      <w:pPr>
        <w:numPr>
          <w:ilvl w:val="0"/>
          <w:numId w:val="1004"/>
        </w:numPr>
      </w:pPr>
      <w:r>
        <w:rPr>
          <w:b/>
          <w:bCs/>
        </w:rPr>
        <w:t xml:space="preserve">Accrual.</w:t>
      </w:r>
      <w:r>
        <w:t xml:space="preserve"> </w:t>
      </w:r>
      <w:r>
        <w:t xml:space="preserve">For any period during which Executive is providing services at a Base Salary of $1.00, no cash salary shall accrue or be owed to Executive. Each Trigger Event shall take effect prospectively from the date the Trigger Event occurs.</w:t>
      </w:r>
    </w:p>
    <w:p>
      <w:pPr>
        <w:numPr>
          <w:ilvl w:val="0"/>
          <w:numId w:val="1004"/>
        </w:numPr>
      </w:pPr>
      <w:r>
        <w:rPr>
          <w:b/>
          <w:bCs/>
        </w:rPr>
        <w:t xml:space="preserve">Payment.</w:t>
      </w:r>
      <w:r>
        <w:t xml:space="preserve"> </w:t>
      </w:r>
      <w:r>
        <w:t xml:space="preserve">Base Salary shall be paid in accordance with the Company’s standard payroll practices, less applicable withholdings and deductions required by law.</w:t>
      </w:r>
    </w:p>
    <w:p>
      <w:pPr>
        <w:numPr>
          <w:ilvl w:val="0"/>
          <w:numId w:val="1004"/>
        </w:numPr>
      </w:pPr>
      <w:r>
        <w:rPr>
          <w:b/>
          <w:bCs/>
        </w:rPr>
        <w:t xml:space="preserve">Bonus.</w:t>
      </w:r>
      <w:r>
        <w:t xml:space="preserve"> </w:t>
      </w:r>
      <w:r>
        <w:t xml:space="preserve">Executive shall be eligible for a discretionary annual cash and/or equity bonus, the terms of which shall be determined by the Board.</w:t>
      </w:r>
    </w:p>
    <w:bookmarkEnd w:id="11"/>
    <w:bookmarkStart w:id="12" w:name="benefits"/>
    <w:p>
      <w:pPr>
        <w:pStyle w:val="Heading2"/>
      </w:pPr>
      <w:r>
        <w:t xml:space="preserve">4. Benefits</w:t>
      </w:r>
    </w:p>
    <w:p>
      <w:pPr>
        <w:numPr>
          <w:ilvl w:val="0"/>
          <w:numId w:val="1005"/>
        </w:numPr>
      </w:pPr>
      <w:r>
        <w:rPr>
          <w:b/>
          <w:bCs/>
        </w:rPr>
        <w:t xml:space="preserve">Business Expense Reimbursement.</w:t>
      </w:r>
      <w:r>
        <w:t xml:space="preserve"> </w:t>
      </w:r>
      <w:r>
        <w:t xml:space="preserve">The Company shall reimburse Executive for all reasonable, pre-approved business expenses incurred in the performance of duties under this Agreement, including business travel, lodging, meals, and ground transportation, subject to the Company’s standard expense reimbursement policies and submission of customary documentation. This benefit shall be effective as of the Effective Date regardless of the then-current Base Salary.</w:t>
      </w:r>
    </w:p>
    <w:p>
      <w:pPr>
        <w:numPr>
          <w:ilvl w:val="0"/>
          <w:numId w:val="1005"/>
        </w:numPr>
      </w:pPr>
      <w:r>
        <w:rPr>
          <w:b/>
          <w:bCs/>
        </w:rPr>
        <w:t xml:space="preserve">Health Insurance.</w:t>
      </w:r>
      <w:r>
        <w:t xml:space="preserve"> </w:t>
      </w:r>
      <w:r>
        <w:t xml:space="preserve">The Company shall make available to Executive a group health, dental, and vision insurance plan upon adoption of such plan by the Company. Executive may, at Executive’s election, decline coverage in favor of health insurance maintained through Executive’s outside employment, and such election shall not reduce any other compensation or benefit hereunder.</w:t>
      </w:r>
    </w:p>
    <w:p>
      <w:pPr>
        <w:numPr>
          <w:ilvl w:val="0"/>
          <w:numId w:val="1005"/>
        </w:numPr>
      </w:pPr>
      <w:r>
        <w:rPr>
          <w:b/>
          <w:bCs/>
        </w:rPr>
        <w:t xml:space="preserve">Retirement.</w:t>
      </w:r>
      <w:r>
        <w:t xml:space="preserve"> </w:t>
      </w:r>
      <w:r>
        <w:t xml:space="preserve">Effective upon the Seed Close Trigger Event, the Company shall establish and maintain a 401(k) retirement plan with a four percent (4%) safe-harbor employer match, in which Executive shall be eligible to participate.</w:t>
      </w:r>
    </w:p>
    <w:p>
      <w:pPr>
        <w:numPr>
          <w:ilvl w:val="0"/>
          <w:numId w:val="1005"/>
        </w:numPr>
      </w:pPr>
      <w:r>
        <w:rPr>
          <w:b/>
          <w:bCs/>
        </w:rPr>
        <w:t xml:space="preserve">Education and Professional Development.</w:t>
      </w:r>
      <w:r>
        <w:t xml:space="preserve"> </w:t>
      </w:r>
      <w:r>
        <w:t xml:space="preserve">Effective upon the Seed Close Trigger Event, Executive shall be eligible for up to $5,000 per calendar year in reimbursement for continuing education, professional development, conferences, training, and related materials reasonably related to Executive’s duties or the Company’s business.</w:t>
      </w:r>
    </w:p>
    <w:p>
      <w:pPr>
        <w:numPr>
          <w:ilvl w:val="0"/>
          <w:numId w:val="1005"/>
        </w:numPr>
      </w:pPr>
      <w:r>
        <w:rPr>
          <w:b/>
          <w:bCs/>
        </w:rPr>
        <w:t xml:space="preserve">Group Life and Disability.</w:t>
      </w:r>
      <w:r>
        <w:t xml:space="preserve"> </w:t>
      </w:r>
      <w:r>
        <w:t xml:space="preserve">Effective upon the Seed Close Trigger Event, the Company shall provide Executive with standard group life and long-term disability insurance comparable to plans offered to senior officers of Delaware corporations of similar size and stage.</w:t>
      </w:r>
    </w:p>
    <w:p>
      <w:pPr>
        <w:numPr>
          <w:ilvl w:val="0"/>
          <w:numId w:val="1005"/>
        </w:numPr>
      </w:pPr>
      <w:r>
        <w:rPr>
          <w:b/>
          <w:bCs/>
        </w:rPr>
        <w:t xml:space="preserve">Paid Time Off.</w:t>
      </w:r>
      <w:r>
        <w:t xml:space="preserve"> </w:t>
      </w:r>
      <w:r>
        <w:t xml:space="preserve">Executive shall be entitled to unlimited paid time off, including vacation, personal, and sick time, subject to the reasonable operational needs of the Company.</w:t>
      </w:r>
    </w:p>
    <w:p>
      <w:pPr>
        <w:numPr>
          <w:ilvl w:val="0"/>
          <w:numId w:val="1005"/>
        </w:numPr>
      </w:pPr>
      <w:r>
        <w:rPr>
          <w:b/>
          <w:bCs/>
        </w:rPr>
        <w:t xml:space="preserve">Indemnification.</w:t>
      </w:r>
      <w:r>
        <w:t xml:space="preserve"> </w:t>
      </w:r>
      <w:r>
        <w:t xml:space="preserve">The Company shall indemnify Executive to the fullest extent permitted by Delaware law and the Company’s certificate of incorporation and bylaws, and shall maintain directors-and-officers liability insurance with coverage and policy limits customary for Delaware corporations of similar size and stage.</w:t>
      </w:r>
    </w:p>
    <w:bookmarkEnd w:id="12"/>
    <w:bookmarkStart w:id="13" w:name="equity"/>
    <w:p>
      <w:pPr>
        <w:pStyle w:val="Heading2"/>
      </w:pPr>
      <w:r>
        <w:t xml:space="preserve">5. Equity</w:t>
      </w:r>
    </w:p>
    <w:p>
      <w:pPr>
        <w:numPr>
          <w:ilvl w:val="0"/>
          <w:numId w:val="1006"/>
        </w:numPr>
      </w:pPr>
      <w:r>
        <w:rPr>
          <w:b/>
          <w:bCs/>
        </w:rPr>
        <w:t xml:space="preserve">Founder Common Stock.</w:t>
      </w:r>
      <w:r>
        <w:t xml:space="preserve"> </w:t>
      </w:r>
      <w:r>
        <w:t xml:space="preserve">Executive’s founder common stock issued at formation shall vest over a period of forty-eight (48) months from the Effective Date, with credit for eighteen (18) months of prior service in respect of the predecessor entity TitleApp LLC and other pre-formation activities of the Company. Accordingly, eighteen (18) months of founder stock shall be deemed vested as of the Effective Date, with the remaining thirty (30) months vesting in equal monthly installments. The terms of the founder stock grant are further set forth in the Founder Stock Purchase Agreement between the Company and Executive.</w:t>
      </w:r>
    </w:p>
    <w:p>
      <w:pPr>
        <w:numPr>
          <w:ilvl w:val="0"/>
          <w:numId w:val="1006"/>
        </w:numPr>
      </w:pPr>
      <w:r>
        <w:rPr>
          <w:b/>
          <w:bCs/>
        </w:rPr>
        <w:t xml:space="preserve">83(b) Election.</w:t>
      </w:r>
      <w:r>
        <w:t xml:space="preserve"> </w:t>
      </w:r>
      <w:r>
        <w:t xml:space="preserve">Executive acknowledges responsibility for filing an Internal Revenue Code Section 83(b) election within thirty (30) days of the date of issuance of any restricted equity grant.</w:t>
      </w:r>
    </w:p>
    <w:p>
      <w:pPr>
        <w:numPr>
          <w:ilvl w:val="0"/>
          <w:numId w:val="1006"/>
        </w:numPr>
      </w:pPr>
      <w:r>
        <w:rPr>
          <w:b/>
          <w:bCs/>
        </w:rPr>
        <w:t xml:space="preserve">Acceleration.</w:t>
      </w:r>
      <w:r>
        <w:t xml:space="preserve"> </w:t>
      </w:r>
      <w:r>
        <w:t xml:space="preserve">Acceleration of vesting on termination of employment shall be governed by Section 6 below.</w:t>
      </w:r>
    </w:p>
    <w:bookmarkEnd w:id="13"/>
    <w:bookmarkStart w:id="14" w:name="termination-and-severance"/>
    <w:p>
      <w:pPr>
        <w:pStyle w:val="Heading2"/>
      </w:pPr>
      <w:r>
        <w:t xml:space="preserve">6. Termination and Severance</w:t>
      </w:r>
    </w:p>
    <w:p>
      <w:pPr>
        <w:numPr>
          <w:ilvl w:val="0"/>
          <w:numId w:val="1007"/>
        </w:numPr>
      </w:pPr>
      <w:r>
        <w:rPr>
          <w:b/>
          <w:bCs/>
        </w:rPr>
        <w:t xml:space="preserve">Termination by the Company for Cause.</w:t>
      </w:r>
      <w:r>
        <w:t xml:space="preserve"> </w:t>
      </w:r>
      <w:r>
        <w:t xml:space="preserve">The Company may terminate Executive’s employment at any time for Cause.</w:t>
      </w:r>
      <w:r>
        <w:t xml:space="preserve"> </w:t>
      </w:r>
      <w:r>
        <w:t xml:space="preserve">“Cause”</w:t>
      </w:r>
      <w:r>
        <w:t xml:space="preserve"> </w:t>
      </w:r>
      <w:r>
        <w:t xml:space="preserve">means, and shall be limited to, the occurrence of one or more of the following:</w:t>
      </w:r>
    </w:p>
    <w:p>
      <w:pPr>
        <w:numPr>
          <w:ilvl w:val="0"/>
          <w:numId w:val="1007"/>
        </w:numPr>
      </w:pPr>
      <w:r>
        <w:t xml:space="preserve">Executive’s conviction of, or entry of a plea of guilty or nolo contendere to, a felony involving fraud, embezzlement, or dishonesty against the Company;</w:t>
      </w:r>
    </w:p>
    <w:p>
      <w:pPr>
        <w:numPr>
          <w:ilvl w:val="0"/>
          <w:numId w:val="1008"/>
        </w:numPr>
      </w:pPr>
      <w:r>
        <w:t xml:space="preserve">Executive’s gross negligence or willful misconduct that has caused, or is reasonably expected to cause, material harm to the Company; or</w:t>
      </w:r>
    </w:p>
    <w:p>
      <w:pPr>
        <w:numPr>
          <w:ilvl w:val="0"/>
          <w:numId w:val="1008"/>
        </w:numPr>
      </w:pPr>
      <w:r>
        <w:t xml:space="preserve">Executive’s material breach of a written obligation to the Company under this Agreement or the CIIA Agreement (as defined below), which breach Executive has failed to cure within ninety (90) days after Executive’s receipt of written notice from the Board specifying the alleged breach in reasonable detail.</w:t>
      </w:r>
    </w:p>
    <w:p>
      <w:pPr>
        <w:pStyle w:val="FirstParagraph"/>
      </w:pPr>
      <w:r>
        <w:t xml:space="preserve">For the avoidance of doubt,</w:t>
      </w:r>
      <w:r>
        <w:t xml:space="preserve"> </w:t>
      </w:r>
      <w:r>
        <w:t xml:space="preserve">“Cause”</w:t>
      </w:r>
      <w:r>
        <w:t xml:space="preserve"> </w:t>
      </w:r>
      <w:r>
        <w:t xml:space="preserve">does not include poor business performance, strategic disagreement with the Board, loss of Board confidence, declining financial results, or any other matter not enumerated in clauses (i) through (iii) above.</w:t>
      </w:r>
    </w:p>
    <w:p>
      <w:pPr>
        <w:numPr>
          <w:ilvl w:val="0"/>
          <w:numId w:val="1009"/>
        </w:numPr>
      </w:pPr>
      <w:r>
        <w:rPr>
          <w:b/>
          <w:bCs/>
        </w:rPr>
        <w:t xml:space="preserve">Termination by Executive for Good Reason.</w:t>
      </w:r>
      <w:r>
        <w:t xml:space="preserve"> </w:t>
      </w:r>
      <w:r>
        <w:t xml:space="preserve">Executive may terminate Executive’s employment for Good Reason.</w:t>
      </w:r>
      <w:r>
        <w:t xml:space="preserve"> </w:t>
      </w:r>
      <w:r>
        <w:t xml:space="preserve">“Good Reason”</w:t>
      </w:r>
      <w:r>
        <w:t xml:space="preserve"> </w:t>
      </w:r>
      <w:r>
        <w:t xml:space="preserve">means, without Executive’s written consent, the occurrence of any of the following:</w:t>
      </w:r>
    </w:p>
    <w:p>
      <w:pPr>
        <w:numPr>
          <w:ilvl w:val="0"/>
          <w:numId w:val="1009"/>
        </w:numPr>
      </w:pPr>
      <w:r>
        <w:t xml:space="preserve">a material reduction in Executive’s title, position, authority, duties, or responsibilities;</w:t>
      </w:r>
    </w:p>
    <w:p>
      <w:pPr>
        <w:numPr>
          <w:ilvl w:val="0"/>
          <w:numId w:val="1010"/>
        </w:numPr>
      </w:pPr>
      <w:r>
        <w:t xml:space="preserve">a material reduction in Executive’s Base Salary (other than a proportionate reduction applied to all senior officers as part of a documented Company-wide cost-reduction program);</w:t>
      </w:r>
    </w:p>
    <w:p>
      <w:pPr>
        <w:numPr>
          <w:ilvl w:val="0"/>
          <w:numId w:val="1010"/>
        </w:numPr>
      </w:pPr>
      <w:r>
        <w:t xml:space="preserve">the Company’s requirement that Executive relocate Executive’s principal residence to a location more than fifty (50) miles from Executive’s then-current location;</w:t>
      </w:r>
    </w:p>
    <w:p>
      <w:pPr>
        <w:numPr>
          <w:ilvl w:val="0"/>
          <w:numId w:val="1010"/>
        </w:numPr>
      </w:pPr>
      <w:r>
        <w:t xml:space="preserve">the Company’s material breach of this Agreement; or</w:t>
      </w:r>
    </w:p>
    <w:p>
      <w:pPr>
        <w:numPr>
          <w:ilvl w:val="0"/>
          <w:numId w:val="1010"/>
        </w:numPr>
      </w:pPr>
      <w:r>
        <w:t xml:space="preserve">any action by the Board to remove Executive as CEO during the CEO Term other than for Cause.</w:t>
      </w:r>
    </w:p>
    <w:p>
      <w:pPr>
        <w:pStyle w:val="FirstParagraph"/>
      </w:pPr>
      <w:r>
        <w:t xml:space="preserve">Executive must provide written notice of the existence of Good Reason within sixty (60) days following its occurrence, and the Company shall have thirty (30) days to cure. If not cured, Executive may terminate within thirty (30) days following the end of the cure period.</w:t>
      </w:r>
    </w:p>
    <w:p>
      <w:pPr>
        <w:numPr>
          <w:ilvl w:val="0"/>
          <w:numId w:val="1011"/>
        </w:numPr>
      </w:pPr>
      <w:r>
        <w:rPr>
          <w:b/>
          <w:bCs/>
        </w:rPr>
        <w:t xml:space="preserve">Termination Without Cause; Termination for Good Reason.</w:t>
      </w:r>
      <w:r>
        <w:t xml:space="preserve"> </w:t>
      </w:r>
      <w:r>
        <w:t xml:space="preserve">If the Company terminates Executive’s employment other than for Cause or by reason of death or disability, or if Executive terminates Executive’s employment for Good Reason, then, subject to Executive’s execution and non-revocation of a customary release of claims in favor of the Company, Executive shall be entitled to:</w:t>
      </w:r>
    </w:p>
    <w:p>
      <w:pPr>
        <w:numPr>
          <w:ilvl w:val="0"/>
          <w:numId w:val="1011"/>
        </w:numPr>
      </w:pPr>
      <w:r>
        <w:rPr>
          <w:b/>
          <w:bCs/>
        </w:rPr>
        <w:t xml:space="preserve">Cash Severance.</w:t>
      </w:r>
      <w:r>
        <w:t xml:space="preserve"> </w:t>
      </w:r>
      <w:r>
        <w:t xml:space="preserve">Continued payment of Executive’s then-current Base Salary for eighteen (18) months following the date of termination, payable in accordance with the Company’s standard payroll practices or in a single lump sum, at the Company’s election.</w:t>
      </w:r>
    </w:p>
    <w:p>
      <w:pPr>
        <w:numPr>
          <w:ilvl w:val="0"/>
          <w:numId w:val="1012"/>
        </w:numPr>
      </w:pPr>
      <w:r>
        <w:rPr>
          <w:b/>
          <w:bCs/>
        </w:rPr>
        <w:t xml:space="preserve">COBRA Premium Reimbursement.</w:t>
      </w:r>
      <w:r>
        <w:t xml:space="preserve"> </w:t>
      </w:r>
      <w:r>
        <w:t xml:space="preserve">Reimbursement of premiums paid by Executive for continued group health, dental, and vision coverage under COBRA (or comparable state-law continuation coverage) for up to eighteen (18) months following the date of termination, or until Executive becomes eligible for comparable coverage from another source, whichever occurs first.</w:t>
      </w:r>
    </w:p>
    <w:p>
      <w:pPr>
        <w:numPr>
          <w:ilvl w:val="0"/>
          <w:numId w:val="1012"/>
        </w:numPr>
      </w:pPr>
      <w:r>
        <w:rPr>
          <w:b/>
          <w:bCs/>
        </w:rPr>
        <w:t xml:space="preserve">Equity Acceleration — Single Trigger.</w:t>
      </w:r>
      <w:r>
        <w:t xml:space="preserve"> </w:t>
      </w:r>
      <w:r>
        <w:t xml:space="preserve">Twelve (12) additional months of vesting credit on all then-unvested equity awards held by Executive shall accelerate and become fully vested as of the date of termination.</w:t>
      </w:r>
    </w:p>
    <w:p>
      <w:pPr>
        <w:numPr>
          <w:ilvl w:val="0"/>
          <w:numId w:val="1012"/>
        </w:numPr>
      </w:pPr>
      <w:r>
        <w:rPr>
          <w:b/>
          <w:bCs/>
        </w:rPr>
        <w:t xml:space="preserve">Change of Control — Double Trigger.</w:t>
      </w:r>
      <w:r>
        <w:t xml:space="preserve"> </w:t>
      </w:r>
      <w:r>
        <w:t xml:space="preserve">If the termination occurs within twelve (12) months following a Change of Control of the Company, one hundred percent (100%) of all then-unvested equity awards held by Executive shall accelerate and become fully vested as of the date of termination, in lieu of (and not in addition to) the single-trigger acceleration provided in clause (iii) above.</w:t>
      </w:r>
    </w:p>
    <w:p>
      <w:pPr>
        <w:numPr>
          <w:ilvl w:val="0"/>
          <w:numId w:val="1012"/>
        </w:numPr>
      </w:pPr>
      <w:r>
        <w:rPr>
          <w:b/>
          <w:bCs/>
        </w:rPr>
        <w:t xml:space="preserve">Termination for Cause; Resignation Without Good Reason.</w:t>
      </w:r>
      <w:r>
        <w:t xml:space="preserve"> </w:t>
      </w:r>
      <w:r>
        <w:t xml:space="preserve">If the Company terminates Executive’s employment for Cause, or if Executive resigns other than for Good Reason, Executive shall be entitled only to (i) any earned but unpaid Base Salary through the date of termination, (ii) accrued but unused expense reimbursements, and (iii) any vested equity held by Executive as of the date of termination, in each case subject to and in accordance with the applicable plan and grant documents.</w:t>
      </w:r>
    </w:p>
    <w:p>
      <w:pPr>
        <w:pStyle w:val="Compact"/>
        <w:numPr>
          <w:ilvl w:val="0"/>
          <w:numId w:val="1013"/>
        </w:numPr>
      </w:pPr>
      <w:r>
        <w:rPr>
          <w:b/>
          <w:bCs/>
        </w:rPr>
        <w:t xml:space="preserve">Death or Disability.</w:t>
      </w:r>
      <w:r>
        <w:t xml:space="preserve"> </w:t>
      </w:r>
      <w:r>
        <w:t xml:space="preserve">In the event of Executive’s death or permanent disability during the CEO Term or thereafter, Executive (or Executive’s estate) shall be entitled to the severance benefits set forth in Section 6(c)(ii), (iii), and (iv), but not the cash severance set forth in Section 6(c)(i), in addition to any benefits available under applicable Company-sponsored life or disability insurance plans.</w:t>
      </w:r>
    </w:p>
    <w:bookmarkEnd w:id="14"/>
    <w:bookmarkStart w:id="15" w:name="X6d3307a7ddfa67e1099f7e91d019266e60a152a"/>
    <w:p>
      <w:pPr>
        <w:pStyle w:val="Heading2"/>
      </w:pPr>
      <w:r>
        <w:t xml:space="preserve">7. Confidentiality and Intellectual Property</w:t>
      </w:r>
    </w:p>
    <w:p>
      <w:pPr>
        <w:pStyle w:val="FirstParagraph"/>
      </w:pPr>
      <w:r>
        <w:t xml:space="preserve">Executive shall execute, contemporaneously with this Agreement, the Company’s standard Confidential Information and Invention Assignment Agreement (the</w:t>
      </w:r>
      <w:r>
        <w:t xml:space="preserve"> </w:t>
      </w:r>
      <w:r>
        <w:t xml:space="preserve">“CIIA Agreement”</w:t>
      </w:r>
      <w:r>
        <w:t xml:space="preserve">), which is incorporated by reference. The CIIA Agreement governs Executive’s obligations regarding Company confidential information, the assignment of work product, the disclosure and assignment of pre-formation intellectual property, and related matters. Executive’s outside aviation activities described in Section 1(d) above shall be expressly carved out from the scope of work-for-hire and assignment obligations under the CIIA Agreement.</w:t>
      </w:r>
    </w:p>
    <w:bookmarkEnd w:id="15"/>
    <w:bookmarkStart w:id="16" w:name="restrictive-covenants"/>
    <w:p>
      <w:pPr>
        <w:pStyle w:val="Heading2"/>
      </w:pPr>
      <w:r>
        <w:t xml:space="preserve">8. Restrictive Covenants</w:t>
      </w:r>
    </w:p>
    <w:p>
      <w:pPr>
        <w:numPr>
          <w:ilvl w:val="0"/>
          <w:numId w:val="1014"/>
        </w:numPr>
      </w:pPr>
      <w:r>
        <w:rPr>
          <w:b/>
          <w:bCs/>
        </w:rPr>
        <w:t xml:space="preserve">Non-Solicitation.</w:t>
      </w:r>
      <w:r>
        <w:t xml:space="preserve"> </w:t>
      </w:r>
      <w:r>
        <w:t xml:space="preserve">During Executive’s employment with the Company and for a period of twelve (12) months following termination of employment for any reason, Executive shall not, directly or indirectly, solicit any employee, contractor, or customer of the Company to terminate or reduce their relationship with the Company.</w:t>
      </w:r>
    </w:p>
    <w:p>
      <w:pPr>
        <w:numPr>
          <w:ilvl w:val="0"/>
          <w:numId w:val="1014"/>
        </w:numPr>
      </w:pPr>
      <w:r>
        <w:rPr>
          <w:b/>
          <w:bCs/>
        </w:rPr>
        <w:t xml:space="preserve">Non-Disparagement.</w:t>
      </w:r>
      <w:r>
        <w:t xml:space="preserve"> </w:t>
      </w:r>
      <w:r>
        <w:t xml:space="preserve">During employment and thereafter, neither Executive nor any officer of the Company shall make any public statement that disparages the other Party, except as required by law or as protected by applicable whistleblower protections.</w:t>
      </w:r>
    </w:p>
    <w:p>
      <w:pPr>
        <w:numPr>
          <w:ilvl w:val="0"/>
          <w:numId w:val="1014"/>
        </w:numPr>
      </w:pPr>
      <w:r>
        <w:rPr>
          <w:b/>
          <w:bCs/>
        </w:rPr>
        <w:t xml:space="preserve">No Non-Compete.</w:t>
      </w:r>
      <w:r>
        <w:t xml:space="preserve"> </w:t>
      </w:r>
      <w:r>
        <w:t xml:space="preserve">Consistent with the law of the State of Delaware and the Federal Trade Commission’s guidance regarding executive non-compete restrictions, Executive is not subject to any post-employment non-compete restriction under this Agreement. The carve-out for aviation activities in Section 1(d) applies during employment.</w:t>
      </w:r>
    </w:p>
    <w:bookmarkEnd w:id="16"/>
    <w:bookmarkStart w:id="17" w:name="definitions"/>
    <w:p>
      <w:pPr>
        <w:pStyle w:val="Heading2"/>
      </w:pPr>
      <w:r>
        <w:t xml:space="preserve">9. Definitions</w:t>
      </w:r>
    </w:p>
    <w:p>
      <w:pPr>
        <w:pStyle w:val="FirstParagraph"/>
      </w:pPr>
      <w:r>
        <w:t xml:space="preserve">“</w:t>
      </w:r>
      <w:r>
        <w:rPr>
          <w:b/>
          <w:bCs/>
        </w:rPr>
        <w:t xml:space="preserve">Change of Control</w:t>
      </w:r>
      <w:r>
        <w:t xml:space="preserve">”</w:t>
      </w:r>
      <w:r>
        <w:t xml:space="preserve"> </w:t>
      </w:r>
      <w:r>
        <w:t xml:space="preserve">means (i) a transaction or series of related transactions in which any person or group becomes the beneficial owner, directly or indirectly, of more than fifty percent (50%) of the outstanding voting securities of the Company, (ii) any reorganization, merger, or consolidation of the Company in which holders of the voting securities of the Company outstanding immediately prior to such transaction do not retain at least a majority of the total voting power immediately following such transaction, or (iii) a sale, lease, or other disposition of all or substantially all of the assets of the Company.</w:t>
      </w:r>
    </w:p>
    <w:bookmarkEnd w:id="17"/>
    <w:bookmarkStart w:id="18" w:name="miscellaneous"/>
    <w:p>
      <w:pPr>
        <w:pStyle w:val="Heading2"/>
      </w:pPr>
      <w:r>
        <w:t xml:space="preserve">10. Miscellaneous</w:t>
      </w:r>
    </w:p>
    <w:p>
      <w:pPr>
        <w:numPr>
          <w:ilvl w:val="0"/>
          <w:numId w:val="1015"/>
        </w:numPr>
      </w:pPr>
      <w:r>
        <w:rPr>
          <w:b/>
          <w:bCs/>
        </w:rPr>
        <w:t xml:space="preserve">Governing Law.</w:t>
      </w:r>
      <w:r>
        <w:t xml:space="preserve"> </w:t>
      </w:r>
      <w:r>
        <w:t xml:space="preserve">This Agreement shall be governed by and construed in accordance with the laws of the State of Delaware, without regard to its conflict-of-laws principles.</w:t>
      </w:r>
    </w:p>
    <w:p>
      <w:pPr>
        <w:numPr>
          <w:ilvl w:val="0"/>
          <w:numId w:val="1015"/>
        </w:numPr>
      </w:pPr>
      <w:r>
        <w:rPr>
          <w:b/>
          <w:bCs/>
        </w:rPr>
        <w:t xml:space="preserve">Jurisdiction.</w:t>
      </w:r>
      <w:r>
        <w:t xml:space="preserve"> </w:t>
      </w:r>
      <w:r>
        <w:t xml:space="preserve">Each Party irrevocably consents to the exclusive jurisdiction of the state and federal courts located in the State of Delaware for any action or proceeding arising out of or relating to this Agreement.</w:t>
      </w:r>
    </w:p>
    <w:p>
      <w:pPr>
        <w:numPr>
          <w:ilvl w:val="0"/>
          <w:numId w:val="1015"/>
        </w:numPr>
      </w:pPr>
      <w:r>
        <w:rPr>
          <w:b/>
          <w:bCs/>
        </w:rPr>
        <w:t xml:space="preserve">Entire Agreement.</w:t>
      </w:r>
      <w:r>
        <w:t xml:space="preserve"> </w:t>
      </w:r>
      <w:r>
        <w:t xml:space="preserve">This Agreement, together with the CIIA Agreement, the Founder Stock Purchase Agreement, and any equity grant documentation, constitutes the entire agreement between the Parties with respect to the subject matter hereof and supersedes all prior or contemporaneous understandings, agreements, representations, and warranties, whether oral or written, relating to such subject matter.</w:t>
      </w:r>
    </w:p>
    <w:p>
      <w:pPr>
        <w:numPr>
          <w:ilvl w:val="0"/>
          <w:numId w:val="1015"/>
        </w:numPr>
      </w:pPr>
      <w:r>
        <w:rPr>
          <w:b/>
          <w:bCs/>
        </w:rPr>
        <w:t xml:space="preserve">Amendment.</w:t>
      </w:r>
      <w:r>
        <w:t xml:space="preserve"> </w:t>
      </w:r>
      <w:r>
        <w:t xml:space="preserve">This Agreement may be amended only by a written instrument signed by both Parties. Any amendment that materially affects the terms of Sections 2, 3, 5, or 6 shall require approval by the Board.</w:t>
      </w:r>
    </w:p>
    <w:p>
      <w:pPr>
        <w:numPr>
          <w:ilvl w:val="0"/>
          <w:numId w:val="1015"/>
        </w:numPr>
      </w:pPr>
      <w:r>
        <w:rPr>
          <w:b/>
          <w:bCs/>
        </w:rPr>
        <w:t xml:space="preserve">Severability.</w:t>
      </w:r>
      <w:r>
        <w:t xml:space="preserve"> </w:t>
      </w:r>
      <w:r>
        <w:t xml:space="preserve">If any provision of this Agreement is held to be invalid, illegal, or unenforceable, such provision shall be modified to the minimum extent necessary to make it enforceable, and the remaining provisions shall remain in full force and effect.</w:t>
      </w:r>
    </w:p>
    <w:p>
      <w:pPr>
        <w:numPr>
          <w:ilvl w:val="0"/>
          <w:numId w:val="1015"/>
        </w:numPr>
      </w:pPr>
      <w:r>
        <w:rPr>
          <w:b/>
          <w:bCs/>
        </w:rPr>
        <w:t xml:space="preserve">No Waiver.</w:t>
      </w:r>
      <w:r>
        <w:t xml:space="preserve"> </w:t>
      </w:r>
      <w:r>
        <w:t xml:space="preserve">No waiver of any provision of this Agreement shall be effective unless in writing and signed by the waiving Party, and no waiver shall constitute a waiver of any other provision or any subsequent breach.</w:t>
      </w:r>
    </w:p>
    <w:p>
      <w:pPr>
        <w:numPr>
          <w:ilvl w:val="0"/>
          <w:numId w:val="1015"/>
        </w:numPr>
      </w:pPr>
      <w:r>
        <w:rPr>
          <w:b/>
          <w:bCs/>
        </w:rPr>
        <w:t xml:space="preserve">Counterparts; Electronic Signature.</w:t>
      </w:r>
      <w:r>
        <w:t xml:space="preserve"> </w:t>
      </w:r>
      <w:r>
        <w:t xml:space="preserve">This Agreement may be executed in counterparts, each of which shall be deemed an original and all of which together shall constitute one and the same instrument. Signatures delivered by electronic means (including Dropbox Sign, DocuSign, PDF, or other electronic signature platforms) shall have the same force and effect as original signatures.</w:t>
      </w:r>
    </w:p>
    <w:p>
      <w:pPr>
        <w:pStyle w:val="FirstParagraph"/>
      </w:pPr>
      <w:r>
        <w:t xml:space="preserve">IN WITNESS WHEREOF, the Parties have executed this Agreement as of the Effective Date.</w:t>
      </w:r>
    </w:p>
    <w:bookmarkEnd w:id="18"/>
    <w:bookmarkStart w:id="19" w:name="signatures"/>
    <w:p>
      <w:pPr>
        <w:pStyle w:val="Heading2"/>
      </w:pPr>
      <w:r>
        <w:t xml:space="preserve">Signatures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SOCIII, INC.</w:t>
            </w:r>
          </w:p>
        </w:tc>
        <w:tc>
          <w:tcPr/>
          <w:p>
            <w:pPr>
              <w:pStyle w:val="Compact"/>
            </w:pPr>
            <w:r>
              <w:rPr>
                <w:b/>
                <w:bCs/>
              </w:rPr>
              <w:t xml:space="preserve">EXECUTIVE</w:t>
            </w:r>
          </w:p>
        </w:tc>
      </w:tr>
      <w:tr>
        <w:tc>
          <w:tcPr/>
          <w:p>
            <w:pPr>
              <w:pStyle w:val="Compact"/>
            </w:pPr>
            <w:r>
              <w:t xml:space="preserve">By: ________________________</w:t>
            </w:r>
          </w:p>
        </w:tc>
        <w:tc>
          <w:tcPr/>
          <w:p>
            <w:pPr>
              <w:pStyle w:val="Compact"/>
            </w:pPr>
            <w:r>
              <w:t xml:space="preserve">________________________</w:t>
            </w:r>
          </w:p>
        </w:tc>
      </w:tr>
      <w:tr>
        <w:tc>
          <w:tcPr/>
          <w:p>
            <w:pPr>
              <w:pStyle w:val="Compact"/>
            </w:pPr>
            <w:r>
              <w:t xml:space="preserve">Name: Sean Combs</w:t>
            </w:r>
          </w:p>
        </w:tc>
        <w:tc>
          <w:tcPr/>
          <w:p>
            <w:pPr>
              <w:pStyle w:val="Compact"/>
            </w:pPr>
            <w:r>
              <w:t xml:space="preserve">Name: Sean Combs</w:t>
            </w:r>
          </w:p>
        </w:tc>
      </w:tr>
      <w:tr>
        <w:tc>
          <w:tcPr/>
          <w:p>
            <w:pPr>
              <w:pStyle w:val="Compact"/>
            </w:pPr>
            <w:r>
              <w:t xml:space="preserve">Title: Chief Executive Officer / Sole Director</w:t>
            </w:r>
          </w:p>
        </w:tc>
        <w:tc>
          <w:tcPr/>
          <w:p>
            <w:pPr>
              <w:pStyle w:val="Compact"/>
            </w:pPr>
            <w:r>
              <w:t xml:space="preserve">Title: Chief Executive Officer</w:t>
            </w:r>
          </w:p>
        </w:tc>
      </w:tr>
      <w:tr>
        <w:tc>
          <w:tcPr/>
          <w:p>
            <w:pPr>
              <w:pStyle w:val="Compact"/>
            </w:pPr>
            <w:r>
              <w:t xml:space="preserve">Date: ________________________</w:t>
            </w:r>
          </w:p>
        </w:tc>
        <w:tc>
          <w:tcPr/>
          <w:p>
            <w:pPr>
              <w:pStyle w:val="Compact"/>
            </w:pPr>
            <w:r>
              <w:t xml:space="preserve">Date: ________________________</w:t>
            </w: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Employment Agreement</dc:title>
  <dc:creator/>
  <cp:keywords/>
  <dcterms:created xsi:type="dcterms:W3CDTF">2026-05-27T06:20:44Z</dcterms:created>
  <dcterms:modified xsi:type="dcterms:W3CDTF">2026-05-27T06:20:44Z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Times New Roman</vt:lpwstr>
  </property>
</Properties>
</file>