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ociii-inc."/>
    <w:p>
      <w:pPr>
        <w:pStyle w:val="Heading1"/>
      </w:pPr>
      <w:r>
        <w:t xml:space="preserve">SOCIII, INC.</w:t>
      </w:r>
    </w:p>
    <w:bookmarkEnd w:id="9"/>
    <w:bookmarkStart w:id="10" w:name="warrant-to-purchase-common-stock"/>
    <w:p>
      <w:pPr>
        <w:pStyle w:val="Heading1"/>
      </w:pPr>
      <w:r>
        <w:t xml:space="preserve">WARRANT TO PURCHASE COMMON STOCK</w:t>
      </w:r>
    </w:p>
    <w:bookmarkEnd w:id="10"/>
    <w:bookmarkStart w:id="25" w:name="issued-to-legacy-phom-holders"/>
    <w:p>
      <w:pPr>
        <w:pStyle w:val="Heading1"/>
      </w:pPr>
      <w:r>
        <w:t xml:space="preserve">(Issued to Legacy pHOM Holders)</w:t>
      </w:r>
    </w:p>
    <w:p>
      <w:pPr>
        <w:pStyle w:val="FirstParagraph"/>
      </w:pPr>
      <w:r>
        <w:rPr>
          <w:b/>
          <w:bCs/>
        </w:rPr>
        <w:t xml:space="preserve">Holder:</w:t>
      </w:r>
      <w:r>
        <w:t xml:space="preserve"> </w:t>
      </w:r>
      <w:r>
        <w:t xml:space="preserve">_______________________________________________</w:t>
      </w:r>
    </w:p>
    <w:p>
      <w:pPr>
        <w:pStyle w:val="BodyText"/>
      </w:pPr>
      <w:r>
        <w:rPr>
          <w:b/>
          <w:bCs/>
        </w:rPr>
        <w:t xml:space="preserve">Address:</w:t>
      </w:r>
      <w:r>
        <w:t xml:space="preserve"> </w:t>
      </w:r>
      <w:r>
        <w:t xml:space="preserve">_______________________________________________</w:t>
      </w:r>
    </w:p>
    <w:p>
      <w:pPr>
        <w:pStyle w:val="BodyText"/>
      </w:pPr>
      <w:r>
        <w:rPr>
          <w:b/>
          <w:bCs/>
        </w:rPr>
        <w:t xml:space="preserve">Effective Date:</w:t>
      </w:r>
      <w:r>
        <w:t xml:space="preserve"> </w:t>
      </w:r>
      <w:r>
        <w:t xml:space="preserve">_______________________________________________</w:t>
      </w:r>
    </w:p>
    <w:p>
      <w:pPr>
        <w:pStyle w:val="BodyText"/>
      </w:pPr>
      <w:r>
        <w:rPr>
          <w:b/>
          <w:bCs/>
        </w:rPr>
        <w:t xml:space="preserve">pHOM Snapshot Balance:</w:t>
      </w:r>
      <w:r>
        <w:t xml:space="preserve"> </w:t>
      </w:r>
      <w:r>
        <w:t xml:space="preserve">_______________________________________________</w:t>
      </w:r>
    </w:p>
    <w:p>
      <w:pPr>
        <w:pStyle w:val="BodyText"/>
      </w:pPr>
      <w:r>
        <w:rPr>
          <w:b/>
          <w:bCs/>
        </w:rPr>
        <w:t xml:space="preserve">Warrant Shares:</w:t>
      </w:r>
      <w:r>
        <w:t xml:space="preserve"> </w:t>
      </w:r>
      <w:r>
        <w:t xml:space="preserve">_______________________________________________</w:t>
      </w:r>
    </w:p>
    <w:p>
      <w:pPr>
        <w:pStyle w:val="BodyText"/>
      </w:pPr>
      <w:r>
        <w:rPr>
          <w:b/>
          <w:bCs/>
        </w:rPr>
        <w:t xml:space="preserve">Per-Share Exercise Price:</w:t>
      </w:r>
      <w:r>
        <w:t xml:space="preserve"> </w:t>
      </w:r>
      <w:r>
        <w:t xml:space="preserve">$_______________________________________________</w:t>
      </w:r>
    </w:p>
    <w:p>
      <w:pPr>
        <w:pStyle w:val="BodyText"/>
      </w:pPr>
      <w:r>
        <w:rPr>
          <w:b/>
          <w:bCs/>
        </w:rPr>
        <w:t xml:space="preserve">Expiration Date:</w:t>
      </w:r>
      <w:r>
        <w:t xml:space="preserve"> </w:t>
      </w:r>
      <w:r>
        <w:t xml:space="preserve">_______________________________________________</w:t>
      </w:r>
    </w:p>
    <w:p>
      <w:r>
        <w:pict>
          <v:rect style="width:0;height:1.5pt" o:hralign="center" o:hrstd="t" o:hr="t"/>
        </w:pict>
      </w:r>
    </w:p>
    <w:p>
      <w:pPr>
        <w:pStyle w:val="FirstParagraph"/>
      </w:pPr>
      <w:r>
        <w:t xml:space="preserve">THIS WARRANT IS ISSUED BY ____________________________________________, a ______________________________ corporation (the</w:t>
      </w:r>
      <w:r>
        <w:t xml:space="preserve"> </w:t>
      </w:r>
      <w:r>
        <w:t xml:space="preserve">“Company”</w:t>
      </w:r>
      <w:r>
        <w:t xml:space="preserve">), to the holder named above (the</w:t>
      </w:r>
      <w:r>
        <w:t xml:space="preserve"> </w:t>
      </w:r>
      <w:r>
        <w:t xml:space="preserve">“Holder”</w:t>
      </w:r>
      <w:r>
        <w:t xml:space="preserve">) in recognition of the Holder’s pHOM token balance recorded on the HOM DAO Foundation snapshot as of the Snapshot Date.</w:t>
      </w:r>
    </w:p>
    <w:p>
      <w:pPr>
        <w:pStyle w:val="BodyText"/>
      </w:pPr>
      <w:r>
        <w:t xml:space="preserve">THIS WARRANT AND THE SECURITIES ISSUABLE UPON ITS EXERCISE HAVE NOT BEEN REGISTERED UNDER THE SECURITIES ACT OF 1933 OR ANY STATE SECURITIES LAW. THEY MAY NOT BE OFFERED, SOLD, PLEDGED, OR OTHERWISE TRANSFERRED EXCEPT PURSUANT TO AN EFFECTIVE REGISTRATION STATEMENT OR AN AVAILABLE EXEMPTION.</w:t>
      </w:r>
    </w:p>
    <w:bookmarkStart w:id="11" w:name="grant-of-warrant"/>
    <w:p>
      <w:pPr>
        <w:pStyle w:val="Heading2"/>
      </w:pPr>
      <w:r>
        <w:t xml:space="preserve">1. Grant of Warrant</w:t>
      </w:r>
    </w:p>
    <w:p>
      <w:pPr>
        <w:pStyle w:val="FirstParagraph"/>
      </w:pPr>
      <w:r>
        <w:t xml:space="preserve">Subject to the terms and conditions of this Warrant, the Holder is entitled to purchase from the Company, at any time on or after the Effective Date and prior to the Expiration Date, the number of shares of the Company’s Common Stock equal to the Warrant Shares set forth above (the</w:t>
      </w:r>
      <w:r>
        <w:t xml:space="preserve"> </w:t>
      </w:r>
      <w:r>
        <w:t xml:space="preserve">“Shares”</w:t>
      </w:r>
      <w:r>
        <w:t xml:space="preserve">), at the Per-Share Exercise Price.</w:t>
      </w:r>
    </w:p>
    <w:bookmarkEnd w:id="11"/>
    <w:bookmarkStart w:id="12" w:name="origin-and-consideration"/>
    <w:p>
      <w:pPr>
        <w:pStyle w:val="Heading2"/>
      </w:pPr>
      <w:r>
        <w:t xml:space="preserve">2. Origin and Consideration</w:t>
      </w:r>
    </w:p>
    <w:p>
      <w:pPr>
        <w:pStyle w:val="FirstParagraph"/>
      </w:pPr>
      <w:r>
        <w:t xml:space="preserve">This Warrant is issued in consideration of the Holder’s recorded participation in HOM DAO Foundation as evidenced by the Holder’s pHOM Snapshot Balance. No cash consideration is paid at issuance. The Holder acknowledges that:</w:t>
      </w:r>
    </w:p>
    <w:p>
      <w:pPr>
        <w:numPr>
          <w:ilvl w:val="0"/>
          <w:numId w:val="1001"/>
        </w:numPr>
      </w:pPr>
      <w:r>
        <w:t xml:space="preserve">the Company has no obligation to honor any unsubscribed legacy claim outside the snapshot;</w:t>
      </w:r>
    </w:p>
    <w:p>
      <w:pPr>
        <w:numPr>
          <w:ilvl w:val="0"/>
          <w:numId w:val="1001"/>
        </w:numPr>
      </w:pPr>
      <w:r>
        <w:t xml:space="preserve">the Warrant Shares were derived from the Holder’s pHOM Snapshot Balance pursuant to a published conversion ratio adopted by the Company’s Board of Directors; and</w:t>
      </w:r>
    </w:p>
    <w:p>
      <w:pPr>
        <w:numPr>
          <w:ilvl w:val="0"/>
          <w:numId w:val="1001"/>
        </w:numPr>
      </w:pPr>
      <w:r>
        <w:t xml:space="preserve">this Warrant supersedes and discharges any prior claim, expectation, or representation relating to HOM, pHOM, the HOM DAO Foundation, or any predecessor entity.</w:t>
      </w:r>
    </w:p>
    <w:bookmarkEnd w:id="12"/>
    <w:bookmarkStart w:id="13" w:name="exercise"/>
    <w:p>
      <w:pPr>
        <w:pStyle w:val="Heading2"/>
      </w:pPr>
      <w:r>
        <w:t xml:space="preserve">3. Exercise</w:t>
      </w:r>
    </w:p>
    <w:p>
      <w:pPr>
        <w:numPr>
          <w:ilvl w:val="0"/>
          <w:numId w:val="1002"/>
        </w:numPr>
      </w:pPr>
      <w:r>
        <w:rPr>
          <w:b/>
          <w:bCs/>
        </w:rPr>
        <w:t xml:space="preserve">Cash Exercise.</w:t>
      </w:r>
      <w:r>
        <w:t xml:space="preserve"> </w:t>
      </w:r>
      <w:r>
        <w:t xml:space="preserve">The Holder may exercise this Warrant in whole or in part by delivering to the Company (i) a completed Notice of Exercise and (ii) payment of the aggregate Per-Share Exercise Price in immediately available funds.</w:t>
      </w:r>
    </w:p>
    <w:p>
      <w:pPr>
        <w:numPr>
          <w:ilvl w:val="0"/>
          <w:numId w:val="1002"/>
        </w:numPr>
      </w:pPr>
      <w:r>
        <w:rPr>
          <w:b/>
          <w:bCs/>
        </w:rPr>
        <w:t xml:space="preserve">Cashless Exercise.</w:t>
      </w:r>
      <w:r>
        <w:t xml:space="preserve"> </w:t>
      </w:r>
      <w:r>
        <w:t xml:space="preserve">In lieu of cash payment, the Holder may elect a net-issue exercise pursuant to which the Holder receives a reduced number of Shares equal to the excess of the fair market value over the aggregate Per-Share Exercise Price, divided by the fair market value per share at exercise.</w:t>
      </w:r>
    </w:p>
    <w:p>
      <w:pPr>
        <w:numPr>
          <w:ilvl w:val="0"/>
          <w:numId w:val="1002"/>
        </w:numPr>
      </w:pPr>
      <w:r>
        <w:rPr>
          <w:b/>
          <w:bCs/>
        </w:rPr>
        <w:t xml:space="preserve">Partial Exercise.</w:t>
      </w:r>
      <w:r>
        <w:t xml:space="preserve"> </w:t>
      </w:r>
      <w:r>
        <w:t xml:space="preserve">This Warrant may be exercised for less than the full number of Warrant Shares; the Company will reissue a replacement warrant for the unexercised balance.</w:t>
      </w:r>
    </w:p>
    <w:bookmarkEnd w:id="13"/>
    <w:bookmarkStart w:id="14" w:name="kyc-aml-condition-precedent"/>
    <w:p>
      <w:pPr>
        <w:pStyle w:val="Heading2"/>
      </w:pPr>
      <w:r>
        <w:t xml:space="preserve">4. KYC / AML Condition Precedent</w:t>
      </w:r>
    </w:p>
    <w:p>
      <w:pPr>
        <w:pStyle w:val="FirstParagraph"/>
      </w:pPr>
      <w:r>
        <w:t xml:space="preserve">Notwithstanding any other provision, the Company shall not issue Shares upon any exercise of this Warrant unless and until the Holder has satisfactorily completed the Company’s then-current identity verification and anti-money-laundering screening. Any exercise notice submitted prior to satisfaction of this condition shall be held in suspense and shall not give rise to any obligation of the Company to issue Shares.</w:t>
      </w:r>
    </w:p>
    <w:bookmarkEnd w:id="14"/>
    <w:bookmarkStart w:id="15" w:name="expiration"/>
    <w:p>
      <w:pPr>
        <w:pStyle w:val="Heading2"/>
      </w:pPr>
      <w:r>
        <w:t xml:space="preserve">5. Expiration</w:t>
      </w:r>
    </w:p>
    <w:p>
      <w:pPr>
        <w:pStyle w:val="FirstParagraph"/>
      </w:pPr>
      <w:r>
        <w:t xml:space="preserve">This Warrant terminates and may no longer be exercised on the Expiration Date set forth above, except to the extent earlier accelerated, terminated, or modified pursuant to Section 7 (Change of Control) or Section 9 (Termination).</w:t>
      </w:r>
    </w:p>
    <w:bookmarkEnd w:id="15"/>
    <w:bookmarkStart w:id="16" w:name="adjustments"/>
    <w:p>
      <w:pPr>
        <w:pStyle w:val="Heading2"/>
      </w:pPr>
      <w:r>
        <w:t xml:space="preserve">6. Adjustments</w:t>
      </w:r>
    </w:p>
    <w:p>
      <w:pPr>
        <w:pStyle w:val="FirstParagraph"/>
      </w:pPr>
      <w:r>
        <w:t xml:space="preserve">The Per-Share Exercise Price and number of Warrant Shares shall be proportionately adjusted for stock splits, stock dividends, combinations, recapitalizations, reclassifications, and similar events of the Company’s Common Stock occurring after the Effective Date. The Holder shall be entitled to weighted-average broad-based anti-dilution protection on the same terms extended to holders of the Company’s most recent equity financing.</w:t>
      </w:r>
    </w:p>
    <w:bookmarkEnd w:id="16"/>
    <w:bookmarkStart w:id="17" w:name="change-of-control"/>
    <w:p>
      <w:pPr>
        <w:pStyle w:val="Heading2"/>
      </w:pPr>
      <w:r>
        <w:t xml:space="preserve">7. Change of Control</w:t>
      </w:r>
    </w:p>
    <w:p>
      <w:pPr>
        <w:pStyle w:val="FirstParagraph"/>
      </w:pPr>
      <w:r>
        <w:t xml:space="preserve">If, prior to the Expiration Date, the Company undergoes a Change of Control (defined as a sale of all or substantially all assets, a merger in which the Company is not the surviving entity, or any transaction or series of transactions resulting in transfer of more than fifty percent of the Company’s voting power), this Warrant shall, at the Holder’s election delivered within ten (10) business days of notice of such transaction, either (i) be assumed by the successor entity on equivalent terms or (ii) be cashed out for the spread between the per-share consideration paid in such transaction and the Per-Share Exercise Price.</w:t>
      </w:r>
    </w:p>
    <w:bookmarkEnd w:id="17"/>
    <w:bookmarkStart w:id="18" w:name="transfer-restrictions"/>
    <w:p>
      <w:pPr>
        <w:pStyle w:val="Heading2"/>
      </w:pPr>
      <w:r>
        <w:t xml:space="preserve">8. Transfer Restrictions</w:t>
      </w:r>
    </w:p>
    <w:p>
      <w:pPr>
        <w:pStyle w:val="FirstParagraph"/>
      </w:pPr>
      <w:r>
        <w:t xml:space="preserve">This Warrant is not transferable except to (a) the Holder’s immediate family or a trust established for the benefit of the Holder or the Holder’s immediate family, or (b) with the prior written consent of the Company, which shall not be unreasonably withheld. Any attempted transfer in violation of this Section shall be void.</w:t>
      </w:r>
    </w:p>
    <w:bookmarkEnd w:id="18"/>
    <w:bookmarkStart w:id="19" w:name="no-voting-no-rights-until-exercise"/>
    <w:p>
      <w:pPr>
        <w:pStyle w:val="Heading2"/>
      </w:pPr>
      <w:r>
        <w:t xml:space="preserve">9. No Voting; No Rights Until Exercise</w:t>
      </w:r>
    </w:p>
    <w:p>
      <w:pPr>
        <w:pStyle w:val="FirstParagraph"/>
      </w:pPr>
      <w:r>
        <w:t xml:space="preserve">Until the Holder validly exercises this Warrant and receives Shares, the Holder shall have no rights as a shareholder of the Company, including no voting rights, no rights to dividends or distributions, and no rights to inspect books and records, in each case with respect to the unexercised portion of this Warrant.</w:t>
      </w:r>
    </w:p>
    <w:bookmarkEnd w:id="19"/>
    <w:bookmarkStart w:id="20" w:name="representations-of-the-holder"/>
    <w:p>
      <w:pPr>
        <w:pStyle w:val="Heading2"/>
      </w:pPr>
      <w:r>
        <w:t xml:space="preserve">10. Representations of the Holder</w:t>
      </w:r>
    </w:p>
    <w:p>
      <w:pPr>
        <w:pStyle w:val="FirstParagraph"/>
      </w:pPr>
      <w:r>
        <w:t xml:space="preserve">By acceptance of this Warrant, the Holder represents that:</w:t>
      </w:r>
    </w:p>
    <w:p>
      <w:pPr>
        <w:numPr>
          <w:ilvl w:val="0"/>
          <w:numId w:val="1003"/>
        </w:numPr>
      </w:pPr>
      <w:r>
        <w:t xml:space="preserve">the Holder is acquiring this Warrant and any Shares issuable hereunder for investment for the Holder’s own account and not with a view to distribution;</w:t>
      </w:r>
    </w:p>
    <w:p>
      <w:pPr>
        <w:numPr>
          <w:ilvl w:val="0"/>
          <w:numId w:val="1003"/>
        </w:numPr>
      </w:pPr>
      <w:r>
        <w:t xml:space="preserve">the Holder understands that this Warrant and the Shares are restricted securities and have not been registered;</w:t>
      </w:r>
    </w:p>
    <w:p>
      <w:pPr>
        <w:numPr>
          <w:ilvl w:val="0"/>
          <w:numId w:val="1003"/>
        </w:numPr>
      </w:pPr>
      <w:r>
        <w:t xml:space="preserve">the information provided by the Holder during the Company’s onboarding process, including identity verification documents and the Holder’s representations regarding their pHOM Snapshot Balance and wallet ownership, is true and accurate; and</w:t>
      </w:r>
    </w:p>
    <w:p>
      <w:pPr>
        <w:numPr>
          <w:ilvl w:val="0"/>
          <w:numId w:val="1003"/>
        </w:numPr>
      </w:pPr>
      <w:r>
        <w:t xml:space="preserve">the Holder is the sole legal and beneficial owner of the pHOM Snapshot Balance referenced above, and no other party has any claim to such balance.</w:t>
      </w:r>
    </w:p>
    <w:bookmarkEnd w:id="20"/>
    <w:bookmarkStart w:id="21" w:name="representations-of-the-company"/>
    <w:p>
      <w:pPr>
        <w:pStyle w:val="Heading2"/>
      </w:pPr>
      <w:r>
        <w:t xml:space="preserve">11. Representations of the Company</w:t>
      </w:r>
    </w:p>
    <w:p>
      <w:pPr>
        <w:pStyle w:val="FirstParagraph"/>
      </w:pPr>
      <w:r>
        <w:t xml:space="preserve">The Company represents that:</w:t>
      </w:r>
    </w:p>
    <w:p>
      <w:pPr>
        <w:numPr>
          <w:ilvl w:val="0"/>
          <w:numId w:val="1004"/>
        </w:numPr>
      </w:pPr>
      <w:r>
        <w:t xml:space="preserve">it is duly organized and validly existing under the laws of the State of ______________________________;</w:t>
      </w:r>
    </w:p>
    <w:p>
      <w:pPr>
        <w:numPr>
          <w:ilvl w:val="0"/>
          <w:numId w:val="1004"/>
        </w:numPr>
      </w:pPr>
      <w:r>
        <w:t xml:space="preserve">the Shares, when issued upon valid exercise in accordance with this Warrant, will be duly authorized, validly issued, fully paid, and non-assessable; and</w:t>
      </w:r>
    </w:p>
    <w:p>
      <w:pPr>
        <w:numPr>
          <w:ilvl w:val="0"/>
          <w:numId w:val="1004"/>
        </w:numPr>
      </w:pPr>
      <w:r>
        <w:t xml:space="preserve">the Company has sufficient authorized but unissued Common Stock to cover all Warrants issued pursuant to the pHOM legacy snapshot program.</w:t>
      </w:r>
    </w:p>
    <w:bookmarkEnd w:id="21"/>
    <w:bookmarkStart w:id="22" w:name="notices"/>
    <w:p>
      <w:pPr>
        <w:pStyle w:val="Heading2"/>
      </w:pPr>
      <w:r>
        <w:t xml:space="preserve">12. Notices</w:t>
      </w:r>
    </w:p>
    <w:p>
      <w:pPr>
        <w:pStyle w:val="FirstParagraph"/>
      </w:pPr>
      <w:r>
        <w:t xml:space="preserve">All notices under this Warrant shall be in writing and shall be deemed given when sent by email to the email address set forth above (for the Holder) or to legal@sociii.ai (for the Company), or when delivered by nationally recognized overnight courier to the address on file.</w:t>
      </w:r>
    </w:p>
    <w:bookmarkEnd w:id="22"/>
    <w:bookmarkStart w:id="23" w:name="governing-law"/>
    <w:p>
      <w:pPr>
        <w:pStyle w:val="Heading2"/>
      </w:pPr>
      <w:r>
        <w:t xml:space="preserve">13. Governing Law</w:t>
      </w:r>
    </w:p>
    <w:p>
      <w:pPr>
        <w:pStyle w:val="FirstParagraph"/>
      </w:pPr>
      <w:r>
        <w:t xml:space="preserve">This Warrant shall be governed by and construed in accordance with the laws of the State of ______________________________, without regard to its conflict-of-laws principles.</w:t>
      </w:r>
    </w:p>
    <w:bookmarkEnd w:id="23"/>
    <w:bookmarkStart w:id="24" w:name="entire-agreement"/>
    <w:p>
      <w:pPr>
        <w:pStyle w:val="Heading2"/>
      </w:pPr>
      <w:r>
        <w:t xml:space="preserve">14. Entire Agreement</w:t>
      </w:r>
    </w:p>
    <w:p>
      <w:pPr>
        <w:pStyle w:val="FirstParagraph"/>
      </w:pPr>
      <w:r>
        <w:t xml:space="preserve">This Warrant constitutes the entire agreement between the parties with respect to the subject matter hereof and supersedes all prior and contemporaneous agreements, understandings, and representations, whether oral or written, relating to such subject matter including, without limitation, any prior representations made by HOM DAO Foundation or any predecessor entity.</w:t>
      </w:r>
    </w:p>
    <w:p>
      <w:r>
        <w:pict>
          <v:rect style="width:0;height:1.5pt" o:hralign="center" o:hrstd="t" o:hr="t"/>
        </w:pict>
      </w:r>
    </w:p>
    <w:p>
      <w:pPr>
        <w:pStyle w:val="FirstParagraph"/>
      </w:pPr>
      <w:r>
        <w:rPr>
          <w:b/>
          <w:bCs/>
        </w:rPr>
        <w:t xml:space="preserve">IN WITNESS WHEREOF</w:t>
      </w:r>
      <w:r>
        <w:t xml:space="preserve">, the parties have executed this Warrant as of the Effective Date.</w:t>
      </w:r>
    </w:p>
    <w:p>
      <w:pPr>
        <w:pStyle w:val="BodyText"/>
      </w:pPr>
      <w:r>
        <w:rPr>
          <w:b/>
          <w:bCs/>
        </w:rPr>
        <w:t xml:space="preserve">COMPANY:</w:t>
      </w:r>
    </w:p>
    <w:p>
      <w:r>
        <w:pict>
          <v:rect style="width:0;height:1.5pt" o:hralign="center" o:hrstd="t" o:hr="t"/>
        </w:pict>
      </w:r>
    </w:p>
    <w:p>
      <w:pPr>
        <w:pStyle w:val="FirstParagraph"/>
      </w:pPr>
      <w:r>
        <w:t xml:space="preserve">Sean Combs</w:t>
      </w:r>
    </w:p>
    <w:p>
      <w:pPr>
        <w:pStyle w:val="BodyText"/>
      </w:pPr>
      <w:r>
        <w:t xml:space="preserve">Chief Executive Officer</w:t>
      </w:r>
    </w:p>
    <w:p>
      <w:pPr>
        <w:pStyle w:val="BodyText"/>
      </w:pPr>
      <w:r>
        <w:t xml:space="preserve">SOCIII, Inc.</w:t>
      </w:r>
    </w:p>
    <w:p>
      <w:pPr>
        <w:pStyle w:val="BodyText"/>
      </w:pPr>
      <w:r>
        <w:rPr>
          <w:b/>
          <w:bCs/>
        </w:rPr>
        <w:t xml:space="preserve">HOLDER:</w:t>
      </w:r>
    </w:p>
    <w:p>
      <w:r>
        <w:pict>
          <v:rect style="width:0;height:1.5pt" o:hralign="center" o:hrstd="t" o:hr="t"/>
        </w:pict>
      </w:r>
    </w:p>
    <w:p>
      <w:pPr>
        <w:pStyle w:val="FirstParagraph"/>
      </w:pPr>
      <w:r>
        <w:t xml:space="preserve">Name: _______________________________________________</w:t>
      </w:r>
    </w:p>
    <w:p>
      <w:pPr>
        <w:pStyle w:val="BodyText"/>
      </w:pPr>
      <w:r>
        <w:t xml:space="preserve">Date: _______________________________________________</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2026-05-27T21:43:01Z</dcterms:created>
  <dcterms:modified xsi:type="dcterms:W3CDTF">2026-05-27T21:43:01Z</dcterms:modified>
</cp:coreProperties>
</file>

<file path=docProps/custom.xml><?xml version="1.0" encoding="utf-8"?>
<Properties xmlns="http://schemas.openxmlformats.org/officeDocument/2006/custom-properties" xmlns:vt="http://schemas.openxmlformats.org/officeDocument/2006/docPropsVTypes"/>
</file>