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i w:val="false"/>
          <w:iCs w:val="false"/>
          <w:color w:val="1a1a1a"/>
          <w:sz w:val="40"/>
          <w:szCs w:val="40"/>
          <w:rFonts w:ascii="Calibri" w:cs="Calibri" w:eastAsia="Calibri" w:hAnsi="Calibri"/>
        </w:rPr>
        <w:t xml:space="preserve">SOCIII, Inc. — Pre-Seed Investor Memorandum</w:t>
      </w:r>
    </w:p>
    <w:p>
      <w:pPr>
        <w:spacing w:after="800" w:before="0"/>
        <w:jc w:val="center"/>
      </w:pPr>
      <w:r>
        <w:rPr>
          <w:b w:val="false"/>
          <w:bCs w:val="false"/>
          <w:i w:val="false"/>
          <w:iCs w:val="false"/>
          <w:color w:val="6b7280"/>
          <w:sz w:val="24"/>
          <w:szCs w:val="24"/>
          <w:rFonts w:ascii="Calibri" w:cs="Calibri" w:eastAsia="Calibri" w:hAnsi="Calibri"/>
        </w:rPr>
        <w:t xml:space="preserve">Sep 2026 · Strictly Confidential</w:t>
      </w:r>
    </w:p>
    <w:p>
      <w:pPr>
        <w:spacing w:after="1200" w:before="0"/>
        <w:jc w:val="center"/>
      </w:pPr>
      <w:r>
        <w:rPr>
          <w:b w:val="false"/>
          <w:bCs w:val="false"/>
          <w:i/>
          <w:iCs/>
          <w:color w:val="1a1a1a"/>
          <w:sz w:val="22"/>
          <w:szCs w:val="22"/>
          <w:rFonts w:ascii="Calibri" w:cs="Calibri" w:eastAsia="Calibri" w:hAnsi="Calibri"/>
        </w:rPr>
        <w:t xml:space="preserve">Where SOCIII actually stands today — corrected and source-verified.</w:t>
      </w:r>
    </w:p>
    <w:p>
      <w:r>
        <w:br w:type="page"/>
      </w:r>
    </w:p>
    <w:p>
      <w:pPr>
        <w:pStyle w:val="Heading1"/>
        <w:spacing w:before="480" w:after="200"/>
      </w:pPr>
      <w:r>
        <w:rPr>
          <w:b/>
          <w:bCs/>
          <w:color w:val="7c3aed"/>
          <w:sz w:val="34"/>
          <w:szCs w:val="34"/>
          <w:rFonts w:ascii="Calibri" w:cs="Calibri" w:eastAsia="Calibri" w:hAnsi="Calibri"/>
        </w:rPr>
        <w:t xml:space="preserve">Important Notices</w:t>
      </w:r>
    </w:p>
    <w:p>
      <w:pPr>
        <w:spacing w:after="200" w:before="0"/>
      </w:pPr>
      <w:r>
        <w:rPr>
          <w:b/>
          <w:bCs/>
          <w:i w:val="false"/>
          <w:iCs w:val="false"/>
          <w:color w:val="1a1a1a"/>
          <w:sz w:val="22"/>
          <w:szCs w:val="22"/>
          <w:rFonts w:ascii="Calibri" w:cs="Calibri" w:eastAsia="Calibri" w:hAnsi="Calibri"/>
        </w:rPr>
        <w:t xml:space="preserve">Confidential and proprietary.</w:t>
      </w:r>
    </w:p>
    <w:p>
      <w:pPr>
        <w:spacing w:after="200" w:before="0"/>
      </w:pPr>
      <w:r>
        <w:rPr>
          <w:b w:val="false"/>
          <w:bCs w:val="false"/>
          <w:i w:val="false"/>
          <w:iCs w:val="false"/>
          <w:color w:val="1a1a1a"/>
          <w:sz w:val="22"/>
          <w:szCs w:val="22"/>
          <w:rFonts w:ascii="Calibri" w:cs="Calibri" w:eastAsia="Calibri" w:hAnsi="Calibri"/>
        </w:rPr>
        <w:t xml:space="preserve">This memorandum is the confidential and proprietary information of SOCIII, Inc. (the "Company") and is provided solely to the recipient identified for the purpose of evaluating a potential investment in the Company. By accepting this memorandum, the recipient agrees to maintain its contents in strict confidence, to use it solely for evaluation purposes, and not to reproduce or distribute it without the Company's prior written consent.</w:t>
      </w:r>
    </w:p>
    <w:p>
      <w:pPr>
        <w:spacing w:after="200" w:before="0"/>
      </w:pPr>
      <w:r>
        <w:rPr>
          <w:b/>
          <w:bCs/>
          <w:i w:val="false"/>
          <w:iCs w:val="false"/>
          <w:color w:val="1a1a1a"/>
          <w:sz w:val="22"/>
          <w:szCs w:val="22"/>
          <w:rFonts w:ascii="Calibri" w:cs="Calibri" w:eastAsia="Calibri" w:hAnsi="Calibri"/>
        </w:rPr>
        <w:t xml:space="preserve">No offer, no solicitation.</w:t>
      </w:r>
    </w:p>
    <w:p>
      <w:pPr>
        <w:spacing w:after="200" w:before="0"/>
      </w:pPr>
      <w:r>
        <w:rPr>
          <w:b w:val="false"/>
          <w:bCs w:val="false"/>
          <w:i w:val="false"/>
          <w:iCs w:val="false"/>
          <w:color w:val="1a1a1a"/>
          <w:sz w:val="22"/>
          <w:szCs w:val="22"/>
          <w:rFonts w:ascii="Calibri" w:cs="Calibri" w:eastAsia="Calibri" w:hAnsi="Calibri"/>
        </w:rPr>
        <w:t xml:space="preserve">This memorandum does not constitute an offer to sell, or the solicitation of an offer to buy, any securities of the Company in any jurisdiction in which such offer or solicitation is unlawful. Any offer of securities, if made, will be made only by means of a definitive subscription or financing agreement, and only to accredited investors who have established suitability through customary diligence.</w:t>
      </w:r>
    </w:p>
    <w:p>
      <w:pPr>
        <w:spacing w:after="200" w:before="0"/>
      </w:pPr>
      <w:r>
        <w:rPr>
          <w:b/>
          <w:bCs/>
          <w:i w:val="false"/>
          <w:iCs w:val="false"/>
          <w:color w:val="1a1a1a"/>
          <w:sz w:val="22"/>
          <w:szCs w:val="22"/>
          <w:rFonts w:ascii="Calibri" w:cs="Calibri" w:eastAsia="Calibri" w:hAnsi="Calibri"/>
        </w:rPr>
        <w:t xml:space="preserve">Forward-looking statements.</w:t>
      </w:r>
    </w:p>
    <w:p>
      <w:pPr>
        <w:spacing w:after="200" w:before="0"/>
      </w:pPr>
      <w:r>
        <w:rPr>
          <w:b w:val="false"/>
          <w:bCs w:val="false"/>
          <w:i w:val="false"/>
          <w:iCs w:val="false"/>
          <w:color w:val="1a1a1a"/>
          <w:sz w:val="22"/>
          <w:szCs w:val="22"/>
          <w:rFonts w:ascii="Calibri" w:cs="Calibri" w:eastAsia="Calibri" w:hAnsi="Calibri"/>
        </w:rPr>
        <w:t xml:space="preserve">This memorandum contains forward-looking statements regarding the Company's strategy, market opportunity, product roadmap, financial projections, and competitive position. These statements reflect current expectations and assumptions that may prove incorrect. Actual results may differ materially. The Company undertakes no obligation to update these statements.</w:t>
      </w:r>
    </w:p>
    <w:p>
      <w:pPr>
        <w:spacing w:after="200" w:before="0"/>
      </w:pPr>
      <w:r>
        <w:rPr>
          <w:b/>
          <w:bCs/>
          <w:i w:val="false"/>
          <w:iCs w:val="false"/>
          <w:color w:val="1a1a1a"/>
          <w:sz w:val="22"/>
          <w:szCs w:val="22"/>
          <w:rFonts w:ascii="Calibri" w:cs="Calibri" w:eastAsia="Calibri" w:hAnsi="Calibri"/>
        </w:rPr>
        <w:t xml:space="preserve">Risk factors.</w:t>
      </w:r>
    </w:p>
    <w:p>
      <w:pPr>
        <w:spacing w:after="200" w:before="0"/>
      </w:pPr>
      <w:r>
        <w:rPr>
          <w:b w:val="false"/>
          <w:bCs w:val="false"/>
          <w:i w:val="false"/>
          <w:iCs w:val="false"/>
          <w:color w:val="1a1a1a"/>
          <w:sz w:val="22"/>
          <w:szCs w:val="22"/>
          <w:rFonts w:ascii="Calibri" w:cs="Calibri" w:eastAsia="Calibri" w:hAnsi="Calibri"/>
        </w:rPr>
        <w:t xml:space="preserve">An investment in the Company involves substantial risk, including risks specific to the Company, its industry, regulatory environment, and the macro environment. Prospective investors should review the risk factors in Part VIII before deciding to invest. The risks summarized in this memorandum are not exhaustive.</w:t>
      </w:r>
    </w:p>
    <w:p>
      <w:pPr>
        <w:spacing w:after="200" w:before="0"/>
      </w:pPr>
      <w:r>
        <w:rPr>
          <w:b/>
          <w:bCs/>
          <w:i w:val="false"/>
          <w:iCs w:val="false"/>
          <w:color w:val="1a1a1a"/>
          <w:sz w:val="22"/>
          <w:szCs w:val="22"/>
          <w:rFonts w:ascii="Calibri" w:cs="Calibri" w:eastAsia="Calibri" w:hAnsi="Calibri"/>
        </w:rPr>
        <w:t xml:space="preserve">No representation.</w:t>
      </w:r>
    </w:p>
    <w:p>
      <w:pPr>
        <w:spacing w:after="200" w:before="0"/>
      </w:pPr>
      <w:r>
        <w:rPr>
          <w:b w:val="false"/>
          <w:bCs w:val="false"/>
          <w:i w:val="false"/>
          <w:iCs w:val="false"/>
          <w:color w:val="1a1a1a"/>
          <w:sz w:val="22"/>
          <w:szCs w:val="22"/>
          <w:rFonts w:ascii="Calibri" w:cs="Calibri" w:eastAsia="Calibri" w:hAnsi="Calibri"/>
        </w:rPr>
        <w:t xml:space="preserve">No representation or warranty, express or implied, is made as to the accuracy or completeness of the information contained in this memorandum. Information from third-party sources is believed to be reliable but has not been independently verified.</w:t>
      </w:r>
    </w:p>
    <w:p>
      <w:pPr>
        <w:spacing w:after="200" w:before="0"/>
      </w:pPr>
      <w:r>
        <w:rPr>
          <w:b/>
          <w:bCs/>
          <w:i w:val="false"/>
          <w:iCs w:val="false"/>
          <w:color w:val="1a1a1a"/>
          <w:sz w:val="22"/>
          <w:szCs w:val="22"/>
          <w:rFonts w:ascii="Calibri" w:cs="Calibri" w:eastAsia="Calibri" w:hAnsi="Calibri"/>
        </w:rPr>
        <w:t xml:space="preserve">Patents.</w:t>
      </w:r>
    </w:p>
    <w:p>
      <w:pPr>
        <w:spacing w:after="200" w:before="0"/>
      </w:pPr>
      <w:r>
        <w:rPr>
          <w:b w:val="false"/>
          <w:bCs w:val="false"/>
          <w:i w:val="false"/>
          <w:iCs w:val="false"/>
          <w:color w:val="1a1a1a"/>
          <w:sz w:val="22"/>
          <w:szCs w:val="22"/>
          <w:rFonts w:ascii="Calibri" w:cs="Calibri" w:eastAsia="Calibri" w:hAnsi="Calibri"/>
        </w:rPr>
        <w:t xml:space="preserve">SOCIII has filed six provisional patent applications with the USPTO covering its core technology. Patent applications are pending and no claims have yet issued. Patent protection is not guaranteed; references to the patent portfolio in this memorandum are descriptions of filings, not assertions of issued claims.</w:t>
      </w:r>
    </w:p>
    <w:p>
      <w:pPr>
        <w:spacing w:after="200" w:before="0"/>
      </w:pPr>
      <w:r>
        <w:rPr>
          <w:b/>
          <w:bCs/>
          <w:i w:val="false"/>
          <w:iCs w:val="false"/>
          <w:color w:val="1a1a1a"/>
          <w:sz w:val="22"/>
          <w:szCs w:val="22"/>
          <w:rFonts w:ascii="Calibri" w:cs="Calibri" w:eastAsia="Calibri" w:hAnsi="Calibri"/>
        </w:rPr>
        <w:t xml:space="preserve">Sourcing note.</w:t>
      </w:r>
    </w:p>
    <w:p>
      <w:pPr>
        <w:spacing w:after="200" w:before="0"/>
      </w:pPr>
      <w:r>
        <w:rPr>
          <w:b w:val="false"/>
          <w:bCs w:val="false"/>
          <w:i w:val="false"/>
          <w:iCs w:val="false"/>
          <w:color w:val="1a1a1a"/>
          <w:sz w:val="22"/>
          <w:szCs w:val="22"/>
          <w:rFonts w:ascii="Calibri" w:cs="Calibri" w:eastAsia="Calibri" w:hAnsi="Calibri"/>
        </w:rPr>
        <w:t xml:space="preserve">Every figure in this memorandum that describes SOCIII's own operating history (worker/industry counts, operating spend, cash on hand) was re-verified directly against production Firestore data and bank records in September 2026, replacing earlier, unverified figures from the May 2026 draft of this memorandum. Where this document conflicts with the Data Room, the Data Room controls.</w:t>
      </w:r>
    </w:p>
    <w:p>
      <w:r>
        <w:br w:type="page"/>
      </w:r>
    </w:p>
    <w:p>
      <w:pPr>
        <w:pStyle w:val="Heading1"/>
        <w:spacing w:before="480" w:after="200"/>
      </w:pPr>
      <w:r>
        <w:rPr>
          <w:b/>
          <w:bCs/>
          <w:color w:val="7c3aed"/>
          <w:sz w:val="34"/>
          <w:szCs w:val="34"/>
          <w:rFonts w:ascii="Calibri" w:cs="Calibri" w:eastAsia="Calibri" w:hAnsi="Calibri"/>
        </w:rPr>
        <w:t xml:space="preserve">Part I — Executive Summary &amp; Highlights</w:t>
      </w:r>
    </w:p>
    <w:p>
      <w:pPr>
        <w:pStyle w:val="Heading2"/>
        <w:spacing w:before="320" w:after="140"/>
      </w:pPr>
      <w:r>
        <w:rPr>
          <w:b/>
          <w:bCs/>
          <w:color w:val="7c3aed"/>
          <w:sz w:val="26"/>
          <w:szCs w:val="26"/>
          <w:rFonts w:ascii="Calibri" w:cs="Calibri" w:eastAsia="Calibri" w:hAnsi="Calibri"/>
        </w:rPr>
        <w:t xml:space="preserve">Executive Summary</w:t>
      </w:r>
    </w:p>
    <w:p>
      <w:pPr>
        <w:spacing w:after="200" w:before="0"/>
      </w:pPr>
      <w:r>
        <w:rPr>
          <w:b w:val="false"/>
          <w:bCs w:val="false"/>
          <w:i w:val="false"/>
          <w:iCs w:val="false"/>
          <w:color w:val="1a1a1a"/>
          <w:sz w:val="22"/>
          <w:szCs w:val="22"/>
          <w:rFonts w:ascii="Calibri" w:cs="Calibri" w:eastAsia="Calibri" w:hAnsi="Calibri"/>
        </w:rPr>
        <w:t xml:space="preserve">SOCIII is a platform where seasoned professionals — the ICU nurse with 20 years of bedside judgment, the master mechanic who can diagnose by sound, the title clerk who knows the county's unwritten rules, the real-estate broker who has seen three market cycles — capture both the rules and the judgment of their work into a digital worker that other practitioners subscribe to. The expert keeps doing the work; the worker scales the knowledge to colleagues, juniors, and the next generation. Every creator earns 75% of every subscription and 20% of the data (token) fees on every worker they author. Domain experts participate because they get paid, not because they are recruited. Every output runs inside a four-tier rules engine and is recorded in an append-only audit trail. SOCIII Inc. is a Delaware C-corporation formed May 19, 2026.</w:t>
      </w:r>
    </w:p>
    <w:p>
      <w:pPr>
        <w:spacing w:after="200" w:before="0"/>
      </w:pPr>
      <w:r>
        <w:rPr>
          <w:b w:val="false"/>
          <w:bCs w:val="false"/>
          <w:i w:val="false"/>
          <w:iCs w:val="false"/>
          <w:color w:val="1a1a1a"/>
          <w:sz w:val="22"/>
          <w:szCs w:val="22"/>
          <w:rFonts w:ascii="Calibri" w:cs="Calibri" w:eastAsia="Calibri" w:hAnsi="Calibri"/>
        </w:rPr>
        <w:t xml:space="preserve">The platform exists because a generation of practitioners is retiring with judgment that no textbook captures. SOCIII gives them a way to preserve it — and earn from it — before it leaves the profession entirely.</w:t>
      </w:r>
    </w:p>
    <w:p>
      <w:pPr>
        <w:spacing w:before="240" w:after="100"/>
      </w:pPr>
      <w:r>
        <w:rPr>
          <w:b/>
          <w:bCs/>
          <w:color w:val="1a1a1a"/>
          <w:sz w:val="23"/>
          <w:szCs w:val="23"/>
          <w:rFonts w:ascii="Calibri" w:cs="Calibri" w:eastAsia="Calibri" w:hAnsi="Calibri"/>
        </w:rPr>
        <w:t xml:space="preserve">The real scale, stated plainly</w:t>
      </w:r>
    </w:p>
    <w:p>
      <w:pPr>
        <w:spacing w:after="200" w:before="0"/>
      </w:pPr>
      <w:r>
        <w:rPr>
          <w:b w:val="false"/>
          <w:bCs w:val="false"/>
          <w:i w:val="false"/>
          <w:iCs w:val="false"/>
          <w:color w:val="1a1a1a"/>
          <w:sz w:val="22"/>
          <w:szCs w:val="22"/>
          <w:rFonts w:ascii="Calibri" w:cs="Calibri" w:eastAsia="Calibri" w:hAnsi="Calibri"/>
        </w:rPr>
        <w:t xml:space="preserve">345 workers live in the platform catalog today, across 24 industries — real, code-verified counts queried directly from production data, not a marketing round number. Of these, four core verticals carry a fully live, demo-verified, chat-grounded product today: Aviation (SKYE), Nursing Education (Hannah, built with Ruthie Clearwater/University of Hawaii), Real Estate (Petra), and Digital Product Passport (Elara, with Traitly). Each of these four is real production, not a finished product — every one carries known, openly-tracked gaps still being closed. The remaining ~20 industries in the catalog are real, rules-encoded worker definitions not yet carried through to a live demo surface. That gap is exactly where this capital goes: converting catalog breadth into deployed, revenue-generating verticals at the same capital-efficiency this founding team has already proven on the first four.</w:t>
      </w:r>
    </w:p>
    <w:p>
      <w:pPr>
        <w:spacing w:before="240" w:after="100"/>
      </w:pPr>
      <w:r>
        <w:rPr>
          <w:b/>
          <w:bCs/>
          <w:color w:val="1a1a1a"/>
          <w:sz w:val="23"/>
          <w:szCs w:val="23"/>
          <w:rFonts w:ascii="Calibri" w:cs="Calibri" w:eastAsia="Calibri" w:hAnsi="Calibri"/>
        </w:rPr>
        <w:t xml:space="preserve">The real thesis: regulation forces adoption, not AI hype</w:t>
      </w:r>
    </w:p>
    <w:p>
      <w:pPr>
        <w:spacing w:after="200" w:before="0"/>
      </w:pPr>
      <w:r>
        <w:rPr>
          <w:b w:val="false"/>
          <w:bCs w:val="false"/>
          <w:i w:val="false"/>
          <w:iCs w:val="false"/>
          <w:color w:val="1a1a1a"/>
          <w:sz w:val="22"/>
          <w:szCs w:val="22"/>
          <w:rFonts w:ascii="Calibri" w:cs="Calibri" w:eastAsia="Calibri" w:hAnsi="Calibri"/>
        </w:rPr>
        <w:t xml:space="preserve">Every one of SOCIII's four live verticals was adopted because a real regulatory or licensing requirement forced the issue — not because AI was trendy. Traitly (Elise van der Bel's real company, based in the Netherlands) needed a Digital Product Passport because EU Regulation (EU) 2023/1542 (the Battery Regulation) and its Annex XIII require one before a battery can be placed on the EU market, under the broader Ecodesign for Sustainable Products Regulation (EU) 2024/1781 (ESPR) — and SOCIII itself is separately establishing its own EU entity in Estonia for data residency and EU compliance posture, distinct from Traitly's own Netherlands base. University of Hawaii's nursing program needed clinical-hours tracking and competency logging because state nursing-board licensure and accreditation requirements demand it, not as a generic training nicety. SKYE exists because FAA Part 135/91 currency tracking, crew qualifications (14 CFR 61.56/61.57/61.23), and maintenance logbook requirements are real, mandatory, and unforgiving. Petra's title work exists because county-recording statutes and title-insurance underwriting standards are the actual substance of the job, not an optional layer on top of it. This is the real expansion thesis: SOCIII's playbook is finding the next regulated or licensed profession, not adding another vertical for its own sake — RAAS, the rules engine, is the actual reason each of these four customers showed up, not a feature bolted onto a chat product.</w:t>
      </w:r>
    </w:p>
    <w:p>
      <w:pPr>
        <w:spacing w:before="240" w:after="100"/>
      </w:pPr>
      <w:r>
        <w:rPr>
          <w:b/>
          <w:bCs/>
          <w:color w:val="1a1a1a"/>
          <w:sz w:val="23"/>
          <w:szCs w:val="23"/>
          <w:rFonts w:ascii="Calibri" w:cs="Calibri" w:eastAsia="Calibri" w:hAnsi="Calibri"/>
        </w:rPr>
        <w:t xml:space="preserve">The capital-efficiency punchline</w:t>
      </w:r>
    </w:p>
    <w:p>
      <w:pPr>
        <w:spacing w:after="200" w:before="0"/>
      </w:pPr>
      <w:r>
        <w:rPr>
          <w:b w:val="false"/>
          <w:bCs w:val="false"/>
          <w:i w:val="false"/>
          <w:iCs w:val="false"/>
          <w:color w:val="1a1a1a"/>
          <w:sz w:val="22"/>
          <w:szCs w:val="22"/>
          <w:rFonts w:ascii="Calibri" w:cs="Calibri" w:eastAsia="Calibri" w:hAnsi="Calibri"/>
        </w:rPr>
        <w:t xml:space="preserve">What you pay a senior engineer in a single month is approximately what SOCIII's AI development stack requires for six months — and it does the work of roughly 25-50 engineers. SOCIII does not hire and lay off armies of humans to scale; it starts without that exposure and grows as fast as the underlying AI models grow. The founder built and operated the platform on $13,436.56 of total operating spend over six months (Feb 1 – Jul 31, 2026, bank-verified), validating the model before this raise.</w:t>
      </w:r>
    </w:p>
    <w:p>
      <w:pPr>
        <w:spacing w:after="200" w:before="0"/>
      </w:pPr>
      <w:r>
        <w:rPr>
          <w:b w:val="false"/>
          <w:bCs w:val="false"/>
          <w:i w:val="false"/>
          <w:iCs w:val="false"/>
          <w:color w:val="1a1a1a"/>
          <w:sz w:val="22"/>
          <w:szCs w:val="22"/>
          <w:rFonts w:ascii="Calibri" w:cs="Calibri" w:eastAsia="Calibri" w:hAnsi="Calibri"/>
        </w:rPr>
        <w:t xml:space="preserve">Context on HOM DAO — a prior venture (2022–2024) that distributed real-estate dApp ownership across 167 contributors. It burned ~$35,000 per week on infrastructure and governance overhead — a genuinely different venture, a genuinely different number, kept here for contrast, not conflated with SOCIII's own figures above. The technical learnings (blockchain-anchored records) carried forward into SOCIII's audit layer; the governance learnings (distributed control without enforcement is a hostage situation) shaped SOCIII's sole-manager structure. See Part V.3.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EEE6FF" w:val="solid"/>
          </w:tcPr>
          <w:p>
            <w:r>
              <w:rPr>
                <w:b/>
                <w:bCs/>
                <w:color w:val="1a1a1a"/>
                <w:sz w:val="20"/>
                <w:szCs w:val="20"/>
                <w:rFonts w:ascii="Calibri" w:cs="Calibri" w:eastAsia="Calibri" w:hAnsi="Calibri"/>
              </w:rPr>
              <w:t xml:space="preserve">Metric</w:t>
            </w:r>
          </w:p>
        </w:tc>
        <w:tc>
          <w:tcPr>
            <w:shd w:color="EEE6FF" w:val="solid"/>
          </w:tcPr>
          <w:p>
            <w:r>
              <w:rPr>
                <w:b/>
                <w:bCs/>
                <w:color w:val="1a1a1a"/>
                <w:sz w:val="20"/>
                <w:szCs w:val="20"/>
                <w:rFonts w:ascii="Calibri" w:cs="Calibri" w:eastAsia="Calibri" w:hAnsi="Calibri"/>
              </w:rPr>
              <w:t xml:space="preserve">Value</w:t>
            </w:r>
          </w:p>
        </w:tc>
      </w:tr>
      <w:tr>
        <w:tc>
          <w:p>
            <w:r>
              <w:rPr>
                <w:b w:val="false"/>
                <w:bCs w:val="false"/>
                <w:color w:val="1a1a1a"/>
                <w:sz w:val="20"/>
                <w:szCs w:val="20"/>
                <w:rFonts w:ascii="Calibri" w:cs="Calibri" w:eastAsia="Calibri" w:hAnsi="Calibri"/>
              </w:rPr>
              <w:t xml:space="preserve">Workers in catalog</w:t>
            </w:r>
          </w:p>
        </w:tc>
        <w:tc>
          <w:p>
            <w:r>
              <w:rPr>
                <w:b w:val="false"/>
                <w:bCs w:val="false"/>
                <w:color w:val="1a1a1a"/>
                <w:sz w:val="20"/>
                <w:szCs w:val="20"/>
                <w:rFonts w:ascii="Calibri" w:cs="Calibri" w:eastAsia="Calibri" w:hAnsi="Calibri"/>
              </w:rPr>
              <w:t xml:space="preserve">345, across 24 industries</w:t>
            </w:r>
          </w:p>
        </w:tc>
      </w:tr>
      <w:tr>
        <w:tc>
          <w:p>
            <w:r>
              <w:rPr>
                <w:b w:val="false"/>
                <w:bCs w:val="false"/>
                <w:color w:val="1a1a1a"/>
                <w:sz w:val="20"/>
                <w:szCs w:val="20"/>
                <w:rFonts w:ascii="Calibri" w:cs="Calibri" w:eastAsia="Calibri" w:hAnsi="Calibri"/>
              </w:rPr>
              <w:t xml:space="preserve">Live, demo-verified verticals</w:t>
            </w:r>
          </w:p>
        </w:tc>
        <w:tc>
          <w:p>
            <w:r>
              <w:rPr>
                <w:b w:val="false"/>
                <w:bCs w:val="false"/>
                <w:color w:val="1a1a1a"/>
                <w:sz w:val="20"/>
                <w:szCs w:val="20"/>
                <w:rFonts w:ascii="Calibri" w:cs="Calibri" w:eastAsia="Calibri" w:hAnsi="Calibri"/>
              </w:rPr>
              <w:t xml:space="preserve">4 — Aviation, Nursing Education, Real Estate, DPP</w:t>
            </w:r>
          </w:p>
        </w:tc>
      </w:tr>
      <w:tr>
        <w:tc>
          <w:p>
            <w:r>
              <w:rPr>
                <w:b w:val="false"/>
                <w:bCs w:val="false"/>
                <w:color w:val="1a1a1a"/>
                <w:sz w:val="20"/>
                <w:szCs w:val="20"/>
                <w:rFonts w:ascii="Calibri" w:cs="Calibri" w:eastAsia="Calibri" w:hAnsi="Calibri"/>
              </w:rPr>
              <w:t xml:space="preserve">Total operating spend</w:t>
            </w:r>
          </w:p>
        </w:tc>
        <w:tc>
          <w:p>
            <w:r>
              <w:rPr>
                <w:b w:val="false"/>
                <w:bCs w:val="false"/>
                <w:color w:val="1a1a1a"/>
                <w:sz w:val="20"/>
                <w:szCs w:val="20"/>
                <w:rFonts w:ascii="Calibri" w:cs="Calibri" w:eastAsia="Calibri" w:hAnsi="Calibri"/>
              </w:rPr>
              <w:t xml:space="preserve">$13,436.56 (Feb–Jul 2026, 6 months, bank-verified)</w:t>
            </w:r>
          </w:p>
        </w:tc>
      </w:tr>
      <w:tr>
        <w:tc>
          <w:p>
            <w:r>
              <w:rPr>
                <w:b w:val="false"/>
                <w:bCs w:val="false"/>
                <w:color w:val="1a1a1a"/>
                <w:sz w:val="20"/>
                <w:szCs w:val="20"/>
                <w:rFonts w:ascii="Calibri" w:cs="Calibri" w:eastAsia="Calibri" w:hAnsi="Calibri"/>
              </w:rPr>
              <w:t xml:space="preserve">Outside capital to date</w:t>
            </w:r>
          </w:p>
        </w:tc>
        <w:tc>
          <w:p>
            <w:r>
              <w:rPr>
                <w:b w:val="false"/>
                <w:bCs w:val="false"/>
                <w:color w:val="1a1a1a"/>
                <w:sz w:val="20"/>
                <w:szCs w:val="20"/>
                <w:rFonts w:ascii="Calibri" w:cs="Calibri" w:eastAsia="Calibri" w:hAnsi="Calibri"/>
              </w:rPr>
              <w:t xml:space="preserve">$0</w:t>
            </w:r>
          </w:p>
        </w:tc>
      </w:tr>
    </w:tbl>
    <w:p>
      <w:pPr>
        <w:spacing w:before="240" w:after="100"/>
      </w:pPr>
      <w:r>
        <w:rPr>
          <w:b/>
          <w:bCs/>
          <w:color w:val="1a1a1a"/>
          <w:sz w:val="23"/>
          <w:szCs w:val="23"/>
          <w:rFonts w:ascii="Calibri" w:cs="Calibri" w:eastAsia="Calibri" w:hAnsi="Calibri"/>
        </w:rPr>
        <w:t xml:space="preserve">What we are raising</w:t>
      </w:r>
    </w:p>
    <w:p>
      <w:pPr>
        <w:spacing w:after="200" w:before="0"/>
      </w:pPr>
      <w:r>
        <w:rPr>
          <w:b w:val="false"/>
          <w:bCs w:val="false"/>
          <w:i w:val="false"/>
          <w:iCs w:val="false"/>
          <w:color w:val="1a1a1a"/>
          <w:sz w:val="22"/>
          <w:szCs w:val="22"/>
          <w:rFonts w:ascii="Calibri" w:cs="Calibri" w:eastAsia="Calibri" w:hAnsi="Calibri"/>
        </w:rPr>
        <w:t xml:space="preserve">An open, rolling YC-style SAFE round. Minimum viable close: $500K (clears real, bank-verified debt and extends operating runway 1–2 years). Base target: $2M (funds the 18-month commercial launch plan and extends runway a few years — see Part VII.4 for the reconciled math). Open to strategic capital up to $5M+ if the right partners participate. Pricing is anchored to the AI-agent-platform comp set and finalized with the lead investor; vertical-AI references (Harvey AI at ~$3B, unverified as of this draft — worth a fresh check before final distribution) anchor the upside framing. The founder self-funded the prior twelve months of personal runway; SOCIII is choosing this raise rather than requiring it.</w:t>
      </w:r>
    </w:p>
    <w:p>
      <w:pPr>
        <w:spacing w:before="240" w:after="100"/>
      </w:pPr>
      <w:r>
        <w:rPr>
          <w:b/>
          <w:bCs/>
          <w:color w:val="1a1a1a"/>
          <w:sz w:val="23"/>
          <w:szCs w:val="23"/>
          <w:rFonts w:ascii="Calibri" w:cs="Calibri" w:eastAsia="Calibri" w:hAnsi="Calibri"/>
        </w:rPr>
        <w:t xml:space="preserve">Investment highlights</w:t>
      </w:r>
    </w:p>
    <w:p>
      <w:pPr>
        <w:spacing w:after="200" w:before="0"/>
      </w:pPr>
      <w:r>
        <w:rPr>
          <w:b/>
          <w:bCs/>
          <w:i w:val="false"/>
          <w:iCs w:val="false"/>
          <w:color w:val="1a1a1a"/>
          <w:sz w:val="22"/>
          <w:szCs w:val="22"/>
          <w:rFonts w:ascii="Calibri" w:cs="Calibri" w:eastAsia="Calibri" w:hAnsi="Calibri"/>
        </w:rPr>
        <w:t xml:space="preserve">Capital efficiency to date.</w:t>
      </w:r>
    </w:p>
    <w:p>
      <w:pPr>
        <w:spacing w:after="200" w:before="0"/>
      </w:pPr>
      <w:r>
        <w:rPr>
          <w:b w:val="false"/>
          <w:bCs w:val="false"/>
          <w:i w:val="false"/>
          <w:iCs w:val="false"/>
          <w:color w:val="1a1a1a"/>
          <w:sz w:val="22"/>
          <w:szCs w:val="22"/>
          <w:rFonts w:ascii="Calibri" w:cs="Calibri" w:eastAsia="Calibri" w:hAnsi="Calibri"/>
        </w:rPr>
        <w:t xml:space="preserve">$13,436.56 in 6 months produced a real, live, 4-vertical production platform with a 345-worker catalog behind it — a fraction of what VC-backed competitors spend to build comparable ground. The mechanism is the platform building the platform: SOCIII runs on SOCIII's own workers (Alex, Marketing, Accounting, HR, Contacts, Control Center), with Anthropic Claude as the lead developer.</w:t>
      </w:r>
    </w:p>
    <w:p>
      <w:pPr>
        <w:spacing w:after="200" w:before="0"/>
      </w:pPr>
      <w:r>
        <w:rPr>
          <w:b/>
          <w:bCs/>
          <w:i w:val="false"/>
          <w:iCs w:val="false"/>
          <w:color w:val="1a1a1a"/>
          <w:sz w:val="22"/>
          <w:szCs w:val="22"/>
          <w:rFonts w:ascii="Calibri" w:cs="Calibri" w:eastAsia="Calibri" w:hAnsi="Calibri"/>
        </w:rPr>
        <w:t xml:space="preserve">Real production, real gaps, stated plainly.</w:t>
      </w:r>
    </w:p>
    <w:p>
      <w:pPr>
        <w:spacing w:after="200" w:before="0"/>
      </w:pPr>
      <w:r>
        <w:rPr>
          <w:b w:val="false"/>
          <w:bCs w:val="false"/>
          <w:i w:val="false"/>
          <w:iCs w:val="false"/>
          <w:color w:val="1a1a1a"/>
          <w:sz w:val="22"/>
          <w:szCs w:val="22"/>
          <w:rFonts w:ascii="Calibri" w:cs="Calibri" w:eastAsia="Calibri" w:hAnsi="Calibri"/>
        </w:rPr>
        <w:t xml:space="preserve">SOCIII does not claim eight live industries. It claims four, each demo-verified this week, each with its known gaps openly tracked rather than hidden — this is the standard this entire memorandum is held to.</w:t>
      </w:r>
    </w:p>
    <w:p>
      <w:pPr>
        <w:spacing w:after="200" w:before="0"/>
      </w:pPr>
      <w:r>
        <w:rPr>
          <w:b/>
          <w:bCs/>
          <w:i w:val="false"/>
          <w:iCs w:val="false"/>
          <w:color w:val="1a1a1a"/>
          <w:sz w:val="22"/>
          <w:szCs w:val="22"/>
          <w:rFonts w:ascii="Calibri" w:cs="Calibri" w:eastAsia="Calibri" w:hAnsi="Calibri"/>
        </w:rPr>
        <w:t xml:space="preserve">Defensible IP, filed.</w:t>
      </w:r>
    </w:p>
    <w:p>
      <w:pPr>
        <w:spacing w:after="200" w:before="0"/>
      </w:pPr>
      <w:r>
        <w:rPr>
          <w:b w:val="false"/>
          <w:bCs w:val="false"/>
          <w:i w:val="false"/>
          <w:iCs w:val="false"/>
          <w:color w:val="1a1a1a"/>
          <w:sz w:val="22"/>
          <w:szCs w:val="22"/>
          <w:rFonts w:ascii="Calibri" w:cs="Calibri" w:eastAsia="Calibri" w:hAnsi="Calibri"/>
        </w:rPr>
        <w:t xml:space="preserve">Six provisional patent applications filed with USPTO May 24, 2026, covering audit trail, rules engine, Sandbox composition, document control, DTC primitive, and multi-tier RAAS architecture. Conversion deadline May 2027.</w:t>
      </w:r>
    </w:p>
    <w:p>
      <w:pPr>
        <w:spacing w:after="200" w:before="0"/>
      </w:pPr>
      <w:r>
        <w:rPr>
          <w:b/>
          <w:bCs/>
          <w:i w:val="false"/>
          <w:iCs w:val="false"/>
          <w:color w:val="1a1a1a"/>
          <w:sz w:val="22"/>
          <w:szCs w:val="22"/>
          <w:rFonts w:ascii="Calibri" w:cs="Calibri" w:eastAsia="Calibri" w:hAnsi="Calibri"/>
        </w:rPr>
        <w:t xml:space="preserve">Expertise as recurring income.</w:t>
      </w:r>
    </w:p>
    <w:p>
      <w:pPr>
        <w:spacing w:after="200" w:before="0"/>
      </w:pPr>
      <w:r>
        <w:rPr>
          <w:b w:val="false"/>
          <w:bCs w:val="false"/>
          <w:i w:val="false"/>
          <w:iCs w:val="false"/>
          <w:color w:val="1a1a1a"/>
          <w:sz w:val="22"/>
          <w:szCs w:val="22"/>
          <w:rFonts w:ascii="Calibri" w:cs="Calibri" w:eastAsia="Calibri" w:hAnsi="Calibri"/>
        </w:rPr>
        <w:t xml:space="preserve">Creators earn 75% of every subscription and 20% of data fees against workers they build. SOCIII's growth bottleneck becomes the labor pool of professionals willing to participate, not the labor pool of engineers it can hire — a sales/creator-recruitment scaling model, not an engineering-headcount scaling model. See Part III.3.</w:t>
      </w:r>
    </w:p>
    <w:p>
      <w:r>
        <w:br w:type="page"/>
      </w:r>
    </w:p>
    <w:p>
      <w:pPr>
        <w:pStyle w:val="Heading1"/>
        <w:spacing w:before="480" w:after="200"/>
      </w:pPr>
      <w:r>
        <w:rPr>
          <w:b/>
          <w:bCs/>
          <w:color w:val="7c3aed"/>
          <w:sz w:val="34"/>
          <w:szCs w:val="34"/>
          <w:rFonts w:ascii="Calibri" w:cs="Calibri" w:eastAsia="Calibri" w:hAnsi="Calibri"/>
        </w:rPr>
        <w:t xml:space="preserve">Part II — The Company &amp; The Category</w:t>
      </w:r>
    </w:p>
    <w:p>
      <w:pPr>
        <w:pStyle w:val="Heading2"/>
        <w:spacing w:before="320" w:after="140"/>
      </w:pPr>
      <w:r>
        <w:rPr>
          <w:b/>
          <w:bCs/>
          <w:color w:val="7c3aed"/>
          <w:sz w:val="26"/>
          <w:szCs w:val="26"/>
          <w:rFonts w:ascii="Calibri" w:cs="Calibri" w:eastAsia="Calibri" w:hAnsi="Calibri"/>
        </w:rPr>
        <w:t xml:space="preserve">What SOCIII is, plainly</w:t>
      </w:r>
    </w:p>
    <w:p>
      <w:pPr>
        <w:spacing w:after="200" w:before="0"/>
      </w:pPr>
      <w:r>
        <w:rPr>
          <w:b w:val="false"/>
          <w:bCs w:val="false"/>
          <w:i w:val="false"/>
          <w:iCs w:val="false"/>
          <w:color w:val="1a1a1a"/>
          <w:sz w:val="22"/>
          <w:szCs w:val="22"/>
          <w:rFonts w:ascii="Calibri" w:cs="Calibri" w:eastAsia="Calibri" w:hAnsi="Calibri"/>
        </w:rPr>
        <w:t xml:space="preserve">SOCIII is an AI agent platform built around a specific bet: the workers that compound in regulated, high-judgment professions will be the ones built by the practitioners themselves, not by AI engineers contracted to study them. A nurse with 20 years of clinical experience can describe her judgment in conversation and the platform composes a worker that captures it. Her colleagues subscribe. She earns 75% of every subscription on a worker she built in an afternoon.</w:t>
      </w:r>
    </w:p>
    <w:p>
      <w:pPr>
        <w:spacing w:after="200" w:before="0"/>
      </w:pPr>
      <w:r>
        <w:rPr>
          <w:b w:val="false"/>
          <w:bCs w:val="false"/>
          <w:i w:val="false"/>
          <w:iCs w:val="false"/>
          <w:color w:val="1a1a1a"/>
          <w:sz w:val="22"/>
          <w:szCs w:val="22"/>
          <w:rFonts w:ascii="Calibri" w:cs="Calibri" w:eastAsia="Calibri" w:hAnsi="Calibri"/>
        </w:rPr>
        <w:t xml:space="preserve">The category is not new — Salesforce, Microsoft, and Google have all shipped agent-branded products; NanoClaw raised $12M on enterprise positioning (reported, not independently re-verified this pass); LangChain and AutoGen have matured from research toolkits to production frameworks; Hugging Face anchors the open-model/open-tooling end of the category — but none of those platforms is structured to recruit and pay the domain experts whose judgment makes the work valuable in the first place.</w:t>
      </w:r>
    </w:p>
    <w:p>
      <w:pPr>
        <w:pStyle w:val="Heading2"/>
        <w:spacing w:before="320" w:after="140"/>
      </w:pPr>
      <w:r>
        <w:rPr>
          <w:b/>
          <w:bCs/>
          <w:color w:val="7c3aed"/>
          <w:sz w:val="26"/>
          <w:szCs w:val="26"/>
          <w:rFonts w:ascii="Calibri" w:cs="Calibri" w:eastAsia="Calibri" w:hAnsi="Calibri"/>
        </w:rPr>
        <w:t xml:space="preserve">How SOCIII differs from adjacent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4%"/>
            <w:shd w:color="EEE6FF" w:val="solid"/>
          </w:tcPr>
          <w:p>
            <w:r>
              <w:rPr>
                <w:b/>
                <w:bCs/>
                <w:color w:val="1a1a1a"/>
                <w:sz w:val="20"/>
                <w:szCs w:val="20"/>
                <w:rFonts w:ascii="Calibri" w:cs="Calibri" w:eastAsia="Calibri" w:hAnsi="Calibri"/>
              </w:rPr>
              <w:t xml:space="preserve">Category</w:t>
            </w:r>
          </w:p>
        </w:tc>
        <w:tc>
          <w:tcPr>
            <w:tcW w:type="pct" w:w="38%"/>
            <w:shd w:color="EEE6FF" w:val="solid"/>
          </w:tcPr>
          <w:p>
            <w:r>
              <w:rPr>
                <w:b/>
                <w:bCs/>
                <w:color w:val="1a1a1a"/>
                <w:sz w:val="20"/>
                <w:szCs w:val="20"/>
                <w:rFonts w:ascii="Calibri" w:cs="Calibri" w:eastAsia="Calibri" w:hAnsi="Calibri"/>
              </w:rPr>
              <w:t xml:space="preserve">What it does</w:t>
            </w:r>
          </w:p>
        </w:tc>
        <w:tc>
          <w:tcPr>
            <w:tcW w:type="pct" w:w="38%"/>
            <w:shd w:color="EEE6FF" w:val="solid"/>
          </w:tcPr>
          <w:p>
            <w:r>
              <w:rPr>
                <w:b/>
                <w:bCs/>
                <w:color w:val="1a1a1a"/>
                <w:sz w:val="20"/>
                <w:szCs w:val="20"/>
                <w:rFonts w:ascii="Calibri" w:cs="Calibri" w:eastAsia="Calibri" w:hAnsi="Calibri"/>
              </w:rPr>
              <w:t xml:space="preserve">How SOCIII differs</w:t>
            </w:r>
          </w:p>
        </w:tc>
      </w:tr>
      <w:tr>
        <w:tc>
          <w:tcPr>
            <w:tcW w:type="pct" w:w="24%"/>
          </w:tcPr>
          <w:p>
            <w:r>
              <w:rPr>
                <w:b w:val="false"/>
                <w:bCs w:val="false"/>
                <w:color w:val="1a1a1a"/>
                <w:sz w:val="20"/>
                <w:szCs w:val="20"/>
                <w:rFonts w:ascii="Calibri" w:cs="Calibri" w:eastAsia="Calibri" w:hAnsi="Calibri"/>
              </w:rPr>
              <w:t xml:space="preserve">ChatGPT / Claude / general chat</w:t>
            </w:r>
          </w:p>
        </w:tc>
        <w:tc>
          <w:tcPr>
            <w:tcW w:type="pct" w:w="38%"/>
          </w:tcPr>
          <w:p>
            <w:r>
              <w:rPr>
                <w:b w:val="false"/>
                <w:bCs w:val="false"/>
                <w:color w:val="1a1a1a"/>
                <w:sz w:val="20"/>
                <w:szCs w:val="20"/>
                <w:rFonts w:ascii="Calibri" w:cs="Calibri" w:eastAsia="Calibri" w:hAnsi="Calibri"/>
              </w:rPr>
              <w:t xml:space="preserve">General-purpose chat. Stateless conversation.</w:t>
            </w:r>
          </w:p>
        </w:tc>
        <w:tc>
          <w:tcPr>
            <w:tcW w:type="pct" w:w="38%"/>
          </w:tcPr>
          <w:p>
            <w:r>
              <w:rPr>
                <w:b w:val="false"/>
                <w:bCs w:val="false"/>
                <w:color w:val="1a1a1a"/>
                <w:sz w:val="20"/>
                <w:szCs w:val="20"/>
                <w:rFonts w:ascii="Calibri" w:cs="Calibri" w:eastAsia="Calibri" w:hAnsi="Calibri"/>
              </w:rPr>
              <w:t xml:space="preserve">SOCIII records every output in an append-only audit trail. Rules engine validates outputs before delivery. Creators own and earn from the workers they build.</w:t>
            </w:r>
          </w:p>
        </w:tc>
      </w:tr>
      <w:tr>
        <w:tc>
          <w:tcPr>
            <w:tcW w:type="pct" w:w="24%"/>
          </w:tcPr>
          <w:p>
            <w:r>
              <w:rPr>
                <w:b w:val="false"/>
                <w:bCs w:val="false"/>
                <w:color w:val="1a1a1a"/>
                <w:sz w:val="20"/>
                <w:szCs w:val="20"/>
                <w:rFonts w:ascii="Calibri" w:cs="Calibri" w:eastAsia="Calibri" w:hAnsi="Calibri"/>
              </w:rPr>
              <w:t xml:space="preserve">LangChain / AutoGen / Hugging Face</w:t>
            </w:r>
          </w:p>
        </w:tc>
        <w:tc>
          <w:tcPr>
            <w:tcW w:type="pct" w:w="38%"/>
          </w:tcPr>
          <w:p>
            <w:r>
              <w:rPr>
                <w:b w:val="false"/>
                <w:bCs w:val="false"/>
                <w:color w:val="1a1a1a"/>
                <w:sz w:val="20"/>
                <w:szCs w:val="20"/>
                <w:rFonts w:ascii="Calibri" w:cs="Calibri" w:eastAsia="Calibri" w:hAnsi="Calibri"/>
              </w:rPr>
              <w:t xml:space="preserve">Frameworks and open tooling for developers to compose agents from code.</w:t>
            </w:r>
          </w:p>
        </w:tc>
        <w:tc>
          <w:tcPr>
            <w:tcW w:type="pct" w:w="38%"/>
          </w:tcPr>
          <w:p>
            <w:r>
              <w:rPr>
                <w:b w:val="false"/>
                <w:bCs w:val="false"/>
                <w:color w:val="1a1a1a"/>
                <w:sz w:val="20"/>
                <w:szCs w:val="20"/>
                <w:rFonts w:ascii="Calibri" w:cs="Calibri" w:eastAsia="Calibri" w:hAnsi="Calibri"/>
              </w:rPr>
              <w:t xml:space="preserve">SOCIII is a platform for domain experts, not developers. The Sandbox composes workers from natural-language descriptions of work and rules — no coding required.</w:t>
            </w:r>
          </w:p>
        </w:tc>
      </w:tr>
      <w:tr>
        <w:tc>
          <w:tcPr>
            <w:tcW w:type="pct" w:w="24%"/>
          </w:tcPr>
          <w:p>
            <w:r>
              <w:rPr>
                <w:b w:val="false"/>
                <w:bCs w:val="false"/>
                <w:color w:val="1a1a1a"/>
                <w:sz w:val="20"/>
                <w:szCs w:val="20"/>
                <w:rFonts w:ascii="Calibri" w:cs="Calibri" w:eastAsia="Calibri" w:hAnsi="Calibri"/>
              </w:rPr>
              <w:t xml:space="preserve">Salesforce Agentforce / Microsoft Copilot</w:t>
            </w:r>
          </w:p>
        </w:tc>
        <w:tc>
          <w:tcPr>
            <w:tcW w:type="pct" w:w="38%"/>
          </w:tcPr>
          <w:p>
            <w:r>
              <w:rPr>
                <w:b w:val="false"/>
                <w:bCs w:val="false"/>
                <w:color w:val="1a1a1a"/>
                <w:sz w:val="20"/>
                <w:szCs w:val="20"/>
                <w:rFonts w:ascii="Calibri" w:cs="Calibri" w:eastAsia="Calibri" w:hAnsi="Calibri"/>
              </w:rPr>
              <w:t xml:space="preserve">Agents bolted onto existing enterprise platform seats.</w:t>
            </w:r>
          </w:p>
        </w:tc>
        <w:tc>
          <w:tcPr>
            <w:tcW w:type="pct" w:w="38%"/>
          </w:tcPr>
          <w:p>
            <w:r>
              <w:rPr>
                <w:b w:val="false"/>
                <w:bCs w:val="false"/>
                <w:color w:val="1a1a1a"/>
                <w:sz w:val="20"/>
                <w:szCs w:val="20"/>
                <w:rFonts w:ascii="Calibri" w:cs="Calibri" w:eastAsia="Calibri" w:hAnsi="Calibri"/>
              </w:rPr>
              <w:t xml:space="preserve">SOCIII targets verticals whose data models do not sit naturally in CRM or productivity suites: aviation maintenance, county recording, dispatch, clinical charting.</w:t>
            </w:r>
          </w:p>
        </w:tc>
      </w:tr>
      <w:tr>
        <w:tc>
          <w:tcPr>
            <w:tcW w:type="pct" w:w="24%"/>
          </w:tcPr>
          <w:p>
            <w:r>
              <w:rPr>
                <w:b w:val="false"/>
                <w:bCs w:val="false"/>
                <w:color w:val="1a1a1a"/>
                <w:sz w:val="20"/>
                <w:szCs w:val="20"/>
                <w:rFonts w:ascii="Calibri" w:cs="Calibri" w:eastAsia="Calibri" w:hAnsi="Calibri"/>
              </w:rPr>
              <w:t xml:space="preserve">NanoClaw and similar enterprise agent platforms</w:t>
            </w:r>
          </w:p>
        </w:tc>
        <w:tc>
          <w:tcPr>
            <w:tcW w:type="pct" w:w="38%"/>
          </w:tcPr>
          <w:p>
            <w:r>
              <w:rPr>
                <w:b w:val="false"/>
                <w:bCs w:val="false"/>
                <w:color w:val="1a1a1a"/>
                <w:sz w:val="20"/>
                <w:szCs w:val="20"/>
                <w:rFonts w:ascii="Calibri" w:cs="Calibri" w:eastAsia="Calibri" w:hAnsi="Calibri"/>
              </w:rPr>
              <w:t xml:space="preserve">Enterprise agent platform, sales-led, white-glove implementation.</w:t>
            </w:r>
          </w:p>
        </w:tc>
        <w:tc>
          <w:tcPr>
            <w:tcW w:type="pct" w:w="38%"/>
          </w:tcPr>
          <w:p>
            <w:r>
              <w:rPr>
                <w:b w:val="false"/>
                <w:bCs w:val="false"/>
                <w:color w:val="1a1a1a"/>
                <w:sz w:val="20"/>
                <w:szCs w:val="20"/>
                <w:rFonts w:ascii="Calibri" w:cs="Calibri" w:eastAsia="Calibri" w:hAnsi="Calibri"/>
              </w:rPr>
              <w:t xml:space="preserve">SOCIII's growth bottleneck is domain experts, not solution architects. See Part III.3 on the team-risk inversion.</w:t>
            </w:r>
          </w:p>
        </w:tc>
      </w:tr>
      <w:tr>
        <w:tc>
          <w:tcPr>
            <w:tcW w:type="pct" w:w="24%"/>
          </w:tcPr>
          <w:p>
            <w:r>
              <w:rPr>
                <w:b w:val="false"/>
                <w:bCs w:val="false"/>
                <w:color w:val="1a1a1a"/>
                <w:sz w:val="20"/>
                <w:szCs w:val="20"/>
                <w:rFonts w:ascii="Calibri" w:cs="Calibri" w:eastAsia="Calibri" w:hAnsi="Calibri"/>
              </w:rPr>
              <w:t xml:space="preserve">AI governance tooling (Vanta, Drata, Monitaur, Credo AI)</w:t>
            </w:r>
          </w:p>
        </w:tc>
        <w:tc>
          <w:tcPr>
            <w:tcW w:type="pct" w:w="38%"/>
          </w:tcPr>
          <w:p>
            <w:r>
              <w:rPr>
                <w:b w:val="false"/>
                <w:bCs w:val="false"/>
                <w:color w:val="1a1a1a"/>
                <w:sz w:val="20"/>
                <w:szCs w:val="20"/>
                <w:rFonts w:ascii="Calibri" w:cs="Calibri" w:eastAsia="Calibri" w:hAnsi="Calibri"/>
              </w:rPr>
              <w:t xml:space="preserve">Monitors and audits AI systems from outside.</w:t>
            </w:r>
          </w:p>
        </w:tc>
        <w:tc>
          <w:tcPr>
            <w:tcW w:type="pct" w:w="38%"/>
          </w:tcPr>
          <w:p>
            <w:r>
              <w:rPr>
                <w:b w:val="false"/>
                <w:bCs w:val="false"/>
                <w:color w:val="1a1a1a"/>
                <w:sz w:val="20"/>
                <w:szCs w:val="20"/>
                <w:rFonts w:ascii="Calibri" w:cs="Calibri" w:eastAsia="Calibri" w:hAnsi="Calibri"/>
              </w:rPr>
              <w:t xml:space="preserve">A real, valuable, different layer of the stack — built for security/compliance teams, not end users, and doesn't do the domain work itself. SOCIII builds governance into the worker, not around it.</w:t>
            </w:r>
          </w:p>
        </w:tc>
      </w:tr>
      <w:tr>
        <w:tc>
          <w:tcPr>
            <w:tcW w:type="pct" w:w="24%"/>
          </w:tcPr>
          <w:p>
            <w:r>
              <w:rPr>
                <w:b w:val="false"/>
                <w:bCs w:val="false"/>
                <w:color w:val="1a1a1a"/>
                <w:sz w:val="20"/>
                <w:szCs w:val="20"/>
                <w:rFonts w:ascii="Calibri" w:cs="Calibri" w:eastAsia="Calibri" w:hAnsi="Calibri"/>
              </w:rPr>
              <w:t xml:space="preserve">Vertical SaaS incumbents (ForeFlight, Jeppesen, legacy nursing-ed and title platforms)</w:t>
            </w:r>
          </w:p>
        </w:tc>
        <w:tc>
          <w:tcPr>
            <w:tcW w:type="pct" w:w="38%"/>
          </w:tcPr>
          <w:p>
            <w:r>
              <w:rPr>
                <w:b w:val="false"/>
                <w:bCs w:val="false"/>
                <w:color w:val="1a1a1a"/>
                <w:sz w:val="20"/>
                <w:szCs w:val="20"/>
                <w:rFonts w:ascii="Calibri" w:cs="Calibri" w:eastAsia="Calibri" w:hAnsi="Calibri"/>
              </w:rPr>
              <w:t xml:space="preserve">Deep in one workflow, one industry; workflows fixed at vendor design time.</w:t>
            </w:r>
          </w:p>
        </w:tc>
        <w:tc>
          <w:tcPr>
            <w:tcW w:type="pct" w:w="38%"/>
          </w:tcPr>
          <w:p>
            <w:r>
              <w:rPr>
                <w:b w:val="false"/>
                <w:bCs w:val="false"/>
                <w:color w:val="1a1a1a"/>
                <w:sz w:val="20"/>
                <w:szCs w:val="20"/>
                <w:rFonts w:ascii="Calibri" w:cs="Calibri" w:eastAsia="Calibri" w:hAnsi="Calibri"/>
              </w:rPr>
              <w:t xml:space="preserve">SOCIII covers the long tail of professional work that vertical SaaS cannot economically ship as features, with an open creator economy incumbents don't have.</w:t>
            </w:r>
          </w:p>
        </w:tc>
      </w:tr>
    </w:tbl>
    <w:p>
      <w:pPr>
        <w:pStyle w:val="Heading2"/>
        <w:spacing w:before="320" w:after="140"/>
      </w:pPr>
      <w:r>
        <w:rPr>
          <w:b/>
          <w:bCs/>
          <w:color w:val="7c3aed"/>
          <w:sz w:val="26"/>
          <w:szCs w:val="26"/>
          <w:rFonts w:ascii="Calibri" w:cs="Calibri" w:eastAsia="Calibri" w:hAnsi="Calibri"/>
        </w:rPr>
        <w:t xml:space="preserve">Three layers of differentiation</w:t>
      </w:r>
    </w:p>
    <w:p>
      <w:pPr>
        <w:spacing w:before="240" w:after="100"/>
      </w:pPr>
      <w:r>
        <w:rPr>
          <w:b/>
          <w:bCs/>
          <w:color w:val="1a1a1a"/>
          <w:sz w:val="23"/>
          <w:szCs w:val="23"/>
          <w:rFonts w:ascii="Calibri" w:cs="Calibri" w:eastAsia="Calibri" w:hAnsi="Calibri"/>
        </w:rPr>
        <w:t xml:space="preserve">Audit Trail — Provisional 64/073,700</w:t>
      </w:r>
    </w:p>
    <w:p>
      <w:pPr>
        <w:spacing w:after="200" w:before="0"/>
      </w:pPr>
      <w:r>
        <w:rPr>
          <w:b w:val="false"/>
          <w:bCs w:val="false"/>
          <w:i w:val="false"/>
          <w:iCs w:val="false"/>
          <w:color w:val="1a1a1a"/>
          <w:sz w:val="22"/>
          <w:szCs w:val="22"/>
          <w:rFonts w:ascii="Calibri" w:cs="Calibri" w:eastAsia="Calibri" w:hAnsi="Calibri"/>
        </w:rPr>
        <w:t xml:space="preserve">Every output is event-sourced, append-only, optionally anchored to a public blockchain. State is computed from event history; records are never overwritten. For regulated verticals this is not a feature — it is a deployability prerequisite. (This is the same filing the platform's newer "Ledger" positioning refers to — one filing, described two ways across this memo and the current deck, not two separate applications.)</w:t>
      </w:r>
    </w:p>
    <w:p>
      <w:pPr>
        <w:spacing w:before="240" w:after="100"/>
      </w:pPr>
      <w:r>
        <w:rPr>
          <w:b/>
          <w:bCs/>
          <w:color w:val="1a1a1a"/>
          <w:sz w:val="23"/>
          <w:szCs w:val="23"/>
          <w:rFonts w:ascii="Calibri" w:cs="Calibri" w:eastAsia="Calibri" w:hAnsi="Calibri"/>
        </w:rPr>
        <w:t xml:space="preserve">RAAS Four-Tier Guardrails — Provisional 64/073,708</w:t>
      </w:r>
    </w:p>
    <w:p>
      <w:pPr>
        <w:spacing w:after="200" w:before="0"/>
      </w:pPr>
      <w:r>
        <w:rPr>
          <w:b w:val="false"/>
          <w:bCs w:val="false"/>
          <w:i w:val="false"/>
          <w:iCs w:val="false"/>
          <w:color w:val="1a1a1a"/>
          <w:sz w:val="22"/>
          <w:szCs w:val="22"/>
          <w:rFonts w:ascii="Calibri" w:cs="Calibri" w:eastAsia="Calibri" w:hAnsi="Calibri"/>
        </w:rPr>
        <w:t xml:space="preserve">Tier 0 Platform Safety — universal rules, immutable. Tier 1 Industry Regulations — FAR/AIM, NCLEX, state RE law, HIPAA, Reg D, compiled once. Tier 2 Operator Policies — creator-editable for the deployment. Tier 3 User Preferences — subscriber-editable within all tiers above. The model proposes; the rules engine validates; only validated outputs reach the user.</w:t>
      </w:r>
    </w:p>
    <w:p>
      <w:pPr>
        <w:spacing w:before="240" w:after="100"/>
      </w:pPr>
      <w:r>
        <w:rPr>
          <w:b/>
          <w:bCs/>
          <w:color w:val="1a1a1a"/>
          <w:sz w:val="23"/>
          <w:szCs w:val="23"/>
          <w:rFonts w:ascii="Calibri" w:cs="Calibri" w:eastAsia="Calibri" w:hAnsi="Calibri"/>
        </w:rPr>
        <w:t xml:space="preserve">Build-Without-Code — Provisional 64/073,704</w:t>
      </w:r>
    </w:p>
    <w:p>
      <w:pPr>
        <w:spacing w:after="200" w:before="0"/>
      </w:pPr>
      <w:r>
        <w:rPr>
          <w:b w:val="false"/>
          <w:bCs w:val="false"/>
          <w:i w:val="false"/>
          <w:iCs w:val="false"/>
          <w:color w:val="1a1a1a"/>
          <w:sz w:val="22"/>
          <w:szCs w:val="22"/>
          <w:rFonts w:ascii="Calibri" w:cs="Calibri" w:eastAsia="Calibri" w:hAnsi="Calibri"/>
        </w:rPr>
        <w:t xml:space="preserve">The Sandbox surface where a domain expert describes their work in plain conversation and the platform composes a worker around their judgment. Accessibility to the people who know the work is the long-term moat.</w:t>
      </w:r>
    </w:p>
    <w:p>
      <w:r>
        <w:br w:type="page"/>
      </w:r>
    </w:p>
    <w:p>
      <w:pPr>
        <w:pStyle w:val="Heading1"/>
        <w:spacing w:before="480" w:after="200"/>
      </w:pPr>
      <w:r>
        <w:rPr>
          <w:b/>
          <w:bCs/>
          <w:color w:val="7c3aed"/>
          <w:sz w:val="34"/>
          <w:szCs w:val="34"/>
          <w:rFonts w:ascii="Calibri" w:cs="Calibri" w:eastAsia="Calibri" w:hAnsi="Calibri"/>
        </w:rPr>
        <w:t xml:space="preserve">Part III — Market &amp; Competition</w:t>
      </w:r>
    </w:p>
    <w:p>
      <w:pPr>
        <w:pStyle w:val="Heading2"/>
        <w:spacing w:before="320" w:after="140"/>
      </w:pPr>
      <w:r>
        <w:rPr>
          <w:b/>
          <w:bCs/>
          <w:color w:val="7c3aed"/>
          <w:sz w:val="26"/>
          <w:szCs w:val="26"/>
          <w:rFonts w:ascii="Calibri" w:cs="Calibri" w:eastAsia="Calibri" w:hAnsi="Calibri"/>
        </w:rPr>
        <w:t xml:space="preserve">Market sizing framework</w:t>
      </w:r>
    </w:p>
    <w:p>
      <w:pPr>
        <w:spacing w:after="200" w:before="0"/>
      </w:pPr>
      <w:r>
        <w:rPr>
          <w:b w:val="false"/>
          <w:bCs w:val="false"/>
          <w:i w:val="false"/>
          <w:iCs w:val="false"/>
          <w:color w:val="1a1a1a"/>
          <w:sz w:val="22"/>
          <w:szCs w:val="22"/>
          <w:rFonts w:ascii="Calibri" w:cs="Calibri" w:eastAsia="Calibri" w:hAnsi="Calibri"/>
        </w:rPr>
        <w:t xml:space="preserve">The agent platform category is forming, so market sizing is more useful as framing than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Layer</w:t>
            </w:r>
          </w:p>
        </w:tc>
        <w:tc>
          <w:tcPr>
            <w:shd w:color="EEE6FF" w:val="solid"/>
          </w:tcPr>
          <w:p>
            <w:r>
              <w:rPr>
                <w:b/>
                <w:bCs/>
                <w:color w:val="1a1a1a"/>
                <w:sz w:val="20"/>
                <w:szCs w:val="20"/>
                <w:rFonts w:ascii="Calibri" w:cs="Calibri" w:eastAsia="Calibri" w:hAnsi="Calibri"/>
              </w:rPr>
              <w:t xml:space="preserve">Annual size</w:t>
            </w:r>
          </w:p>
        </w:tc>
        <w:tc>
          <w:tcPr>
            <w:shd w:color="EEE6FF" w:val="solid"/>
          </w:tcPr>
          <w:p>
            <w:r>
              <w:rPr>
                <w:b/>
                <w:bCs/>
                <w:color w:val="1a1a1a"/>
                <w:sz w:val="20"/>
                <w:szCs w:val="20"/>
                <w:rFonts w:ascii="Calibri" w:cs="Calibri" w:eastAsia="Calibri" w:hAnsi="Calibri"/>
              </w:rPr>
              <w:t xml:space="preserve">SOCIII relevance</w:t>
            </w:r>
          </w:p>
        </w:tc>
      </w:tr>
      <w:tr>
        <w:tc>
          <w:p>
            <w:r>
              <w:rPr>
                <w:b w:val="false"/>
                <w:bCs w:val="false"/>
                <w:color w:val="1a1a1a"/>
                <w:sz w:val="20"/>
                <w:szCs w:val="20"/>
                <w:rFonts w:ascii="Calibri" w:cs="Calibri" w:eastAsia="Calibri" w:hAnsi="Calibri"/>
              </w:rPr>
              <w:t xml:space="preserve">Vertical SaaS — aviation, real estate, nursing education, compliance</w:t>
            </w:r>
          </w:p>
        </w:tc>
        <w:tc>
          <w:p>
            <w:r>
              <w:rPr>
                <w:b w:val="false"/>
                <w:bCs w:val="false"/>
                <w:color w:val="1a1a1a"/>
                <w:sz w:val="20"/>
                <w:szCs w:val="20"/>
                <w:rFonts w:ascii="Calibri" w:cs="Calibri" w:eastAsia="Calibri" w:hAnsi="Calibri"/>
              </w:rPr>
              <w:t xml:space="preserve">~$200B</w:t>
            </w:r>
          </w:p>
        </w:tc>
        <w:tc>
          <w:p>
            <w:r>
              <w:rPr>
                <w:b w:val="false"/>
                <w:bCs w:val="false"/>
                <w:color w:val="1a1a1a"/>
                <w:sz w:val="20"/>
                <w:szCs w:val="20"/>
                <w:rFonts w:ascii="Calibri" w:cs="Calibri" w:eastAsia="Calibri" w:hAnsi="Calibri"/>
              </w:rPr>
              <w:t xml:space="preserve">Long-tail workflow &amp; compliance layer SaaS can't ship</w:t>
            </w:r>
          </w:p>
        </w:tc>
      </w:tr>
      <w:tr>
        <w:tc>
          <w:p>
            <w:r>
              <w:rPr>
                <w:b w:val="false"/>
                <w:bCs w:val="false"/>
                <w:color w:val="1a1a1a"/>
                <w:sz w:val="20"/>
                <w:szCs w:val="20"/>
                <w:rFonts w:ascii="Calibri" w:cs="Calibri" w:eastAsia="Calibri" w:hAnsi="Calibri"/>
              </w:rPr>
              <w:t xml:space="preserve">Workflow-and-compliance addressable layer</w:t>
            </w:r>
          </w:p>
        </w:tc>
        <w:tc>
          <w:p>
            <w:r>
              <w:rPr>
                <w:b w:val="false"/>
                <w:bCs w:val="false"/>
                <w:color w:val="1a1a1a"/>
                <w:sz w:val="20"/>
                <w:szCs w:val="20"/>
                <w:rFonts w:ascii="Calibri" w:cs="Calibri" w:eastAsia="Calibri" w:hAnsi="Calibri"/>
              </w:rPr>
              <w:t xml:space="preserve">$30B–$40B</w:t>
            </w:r>
          </w:p>
        </w:tc>
        <w:tc>
          <w:p>
            <w:r>
              <w:rPr>
                <w:b w:val="false"/>
                <w:bCs w:val="false"/>
                <w:color w:val="1a1a1a"/>
                <w:sz w:val="20"/>
                <w:szCs w:val="20"/>
                <w:rFonts w:ascii="Calibri" w:cs="Calibri" w:eastAsia="Calibri" w:hAnsi="Calibri"/>
              </w:rPr>
              <w:t xml:space="preserve">Direct addressable market</w:t>
            </w:r>
          </w:p>
        </w:tc>
      </w:tr>
      <w:tr>
        <w:tc>
          <w:p>
            <w:r>
              <w:rPr>
                <w:b w:val="false"/>
                <w:bCs w:val="false"/>
                <w:color w:val="1a1a1a"/>
                <w:sz w:val="20"/>
                <w:szCs w:val="20"/>
                <w:rFonts w:ascii="Calibri" w:cs="Calibri" w:eastAsia="Calibri" w:hAnsi="Calibri"/>
              </w:rPr>
              <w:t xml:space="preserve">Consumer &amp; prosumer AI</w:t>
            </w:r>
          </w:p>
        </w:tc>
        <w:tc>
          <w:p>
            <w:r>
              <w:rPr>
                <w:b w:val="false"/>
                <w:bCs w:val="false"/>
                <w:color w:val="1a1a1a"/>
                <w:sz w:val="20"/>
                <w:szCs w:val="20"/>
                <w:rFonts w:ascii="Calibri" w:cs="Calibri" w:eastAsia="Calibri" w:hAnsi="Calibri"/>
              </w:rPr>
              <w:t xml:space="preserve">$50B–$100B</w:t>
            </w:r>
          </w:p>
        </w:tc>
        <w:tc>
          <w:p>
            <w:r>
              <w:rPr>
                <w:b w:val="false"/>
                <w:bCs w:val="false"/>
                <w:color w:val="1a1a1a"/>
                <w:sz w:val="20"/>
                <w:szCs w:val="20"/>
                <w:rFonts w:ascii="Calibri" w:cs="Calibri" w:eastAsia="Calibri" w:hAnsi="Calibri"/>
              </w:rPr>
              <w:t xml:space="preserve">Slice where users have monetizable professional knowledge</w:t>
            </w:r>
          </w:p>
        </w:tc>
      </w:tr>
      <w:tr>
        <w:tc>
          <w:p>
            <w:r>
              <w:rPr>
                <w:b w:val="false"/>
                <w:bCs w:val="false"/>
                <w:color w:val="1a1a1a"/>
                <w:sz w:val="20"/>
                <w:szCs w:val="20"/>
                <w:rFonts w:ascii="Calibri" w:cs="Calibri" w:eastAsia="Calibri" w:hAnsi="Calibri"/>
              </w:rPr>
              <w:t xml:space="preserve">Professional-knowledge prosumer slice</w:t>
            </w:r>
          </w:p>
        </w:tc>
        <w:tc>
          <w:p>
            <w:r>
              <w:rPr>
                <w:b w:val="false"/>
                <w:bCs w:val="false"/>
                <w:color w:val="1a1a1a"/>
                <w:sz w:val="20"/>
                <w:szCs w:val="20"/>
                <w:rFonts w:ascii="Calibri" w:cs="Calibri" w:eastAsia="Calibri" w:hAnsi="Calibri"/>
              </w:rPr>
              <w:t xml:space="preserve">$5B–$10B</w:t>
            </w:r>
          </w:p>
        </w:tc>
        <w:tc>
          <w:p>
            <w:r>
              <w:rPr>
                <w:b w:val="false"/>
                <w:bCs w:val="false"/>
                <w:color w:val="1a1a1a"/>
                <w:sz w:val="20"/>
                <w:szCs w:val="20"/>
                <w:rFonts w:ascii="Calibri" w:cs="Calibri" w:eastAsia="Calibri" w:hAnsi="Calibri"/>
              </w:rPr>
              <w:t xml:space="preserve">Sandbox-side addressable</w:t>
            </w:r>
          </w:p>
        </w:tc>
      </w:tr>
      <w:tr>
        <w:tc>
          <w:p>
            <w:r>
              <w:rPr>
                <w:b w:val="false"/>
                <w:bCs w:val="false"/>
                <w:color w:val="1a1a1a"/>
                <w:sz w:val="20"/>
                <w:szCs w:val="20"/>
                <w:rFonts w:ascii="Calibri" w:cs="Calibri" w:eastAsia="Calibri" w:hAnsi="Calibri"/>
              </w:rPr>
              <w:t xml:space="preserve">Platform marketplace ceiling (long-term)</w:t>
            </w:r>
          </w:p>
        </w:tc>
        <w:tc>
          <w:p>
            <w:r>
              <w:rPr>
                <w:b w:val="false"/>
                <w:bCs w:val="false"/>
                <w:color w:val="1a1a1a"/>
                <w:sz w:val="20"/>
                <w:szCs w:val="20"/>
                <w:rFonts w:ascii="Calibri" w:cs="Calibri" w:eastAsia="Calibri" w:hAnsi="Calibri"/>
              </w:rPr>
              <w:t xml:space="preserve">$1T+ (App Store reference)</w:t>
            </w:r>
          </w:p>
        </w:tc>
        <w:tc>
          <w:p>
            <w:r>
              <w:rPr>
                <w:b w:val="false"/>
                <w:bCs w:val="false"/>
                <w:color w:val="1a1a1a"/>
                <w:sz w:val="20"/>
                <w:szCs w:val="20"/>
                <w:rFonts w:ascii="Calibri" w:cs="Calibri" w:eastAsia="Calibri" w:hAnsi="Calibri"/>
              </w:rPr>
              <w:t xml:space="preserve">Upper bound only; not modeled in the round case</w:t>
            </w:r>
          </w:p>
        </w:tc>
      </w:tr>
    </w:tbl>
    <w:p>
      <w:pPr>
        <w:pStyle w:val="Heading2"/>
        <w:spacing w:before="320" w:after="140"/>
      </w:pPr>
      <w:r>
        <w:rPr>
          <w:b/>
          <w:bCs/>
          <w:color w:val="7c3aed"/>
          <w:sz w:val="26"/>
          <w:szCs w:val="26"/>
          <w:rFonts w:ascii="Calibri" w:cs="Calibri" w:eastAsia="Calibri" w:hAnsi="Calibri"/>
        </w:rPr>
        <w:t xml:space="preserve">Comparable companies &amp; valuations</w:t>
      </w:r>
    </w:p>
    <w:p>
      <w:pPr>
        <w:spacing w:after="200" w:before="0"/>
      </w:pPr>
      <w:r>
        <w:rPr>
          <w:b w:val="false"/>
          <w:bCs w:val="false"/>
          <w:i w:val="false"/>
          <w:iCs w:val="false"/>
          <w:color w:val="1a1a1a"/>
          <w:sz w:val="22"/>
          <w:szCs w:val="22"/>
          <w:rFonts w:ascii="Calibri" w:cs="Calibri" w:eastAsia="Calibri" w:hAnsi="Calibri"/>
        </w:rPr>
        <w:t xml:space="preserve">External reference points, not our own model: pre-seed sits around ~$50M; verified vertical AI (Harvey AI, unverified as of this draft) around $3B; replaceable legacy SaaS in the $40–300B range; unreachable general-purpose platforms near $157B. Harvey AI is the closest single comp to SOCIII's positioning by vertical-AI thesis. These figures are third-party references for round-sizing context, not a projection of SOCIII's own outcome — see Part VII.5 for the actual modeled scenarios.</w:t>
      </w:r>
    </w:p>
    <w:p>
      <w:pPr>
        <w:pStyle w:val="Heading2"/>
        <w:spacing w:before="320" w:after="140"/>
      </w:pPr>
      <w:r>
        <w:rPr>
          <w:b/>
          <w:bCs/>
          <w:color w:val="7c3aed"/>
          <w:sz w:val="26"/>
          <w:szCs w:val="26"/>
          <w:rFonts w:ascii="Calibri" w:cs="Calibri" w:eastAsia="Calibri" w:hAnsi="Calibri"/>
        </w:rPr>
        <w:t xml:space="preserve">The team-risk inversion (3.3)</w:t>
      </w:r>
    </w:p>
    <w:p>
      <w:pPr>
        <w:spacing w:after="200" w:before="0"/>
      </w:pPr>
      <w:r>
        <w:rPr>
          <w:b w:val="false"/>
          <w:bCs w:val="false"/>
          <w:i w:val="false"/>
          <w:iCs w:val="false"/>
          <w:color w:val="1a1a1a"/>
          <w:sz w:val="22"/>
          <w:szCs w:val="22"/>
          <w:rFonts w:ascii="Calibri" w:cs="Calibri" w:eastAsia="Calibri" w:hAnsi="Calibri"/>
        </w:rPr>
        <w:t xml:space="preserve">The cleanest single frame for the difference between SOCIII and a sales-led agent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EEE6FF" w:val="solid"/>
          </w:tcPr>
          <w:p>
            <w:r>
              <w:rPr>
                <w:b/>
                <w:bCs/>
                <w:color w:val="1a1a1a"/>
                <w:sz w:val="20"/>
                <w:szCs w:val="20"/>
                <w:rFonts w:ascii="Calibri" w:cs="Calibri" w:eastAsia="Calibri" w:hAnsi="Calibri"/>
              </w:rPr>
              <w:t xml:space="preserve">Sales-led agent platform</w:t>
            </w:r>
          </w:p>
        </w:tc>
        <w:tc>
          <w:tcPr>
            <w:shd w:color="EEE6FF" w:val="solid"/>
          </w:tcPr>
          <w:p>
            <w:r>
              <w:rPr>
                <w:b/>
                <w:bCs/>
                <w:color w:val="1a1a1a"/>
                <w:sz w:val="20"/>
                <w:szCs w:val="20"/>
                <w:rFonts w:ascii="Calibri" w:cs="Calibri" w:eastAsia="Calibri" w:hAnsi="Calibri"/>
              </w:rPr>
              <w:t xml:space="preserve">SOCIII platform model</w:t>
            </w:r>
          </w:p>
        </w:tc>
      </w:tr>
      <w:tr>
        <w:tc>
          <w:p>
            <w:r>
              <w:rPr>
                <w:b w:val="false"/>
                <w:bCs w:val="false"/>
                <w:color w:val="1a1a1a"/>
                <w:sz w:val="20"/>
                <w:szCs w:val="20"/>
                <w:rFonts w:ascii="Calibri" w:cs="Calibri" w:eastAsia="Calibri" w:hAnsi="Calibri"/>
              </w:rPr>
              <w:t xml:space="preserve">Grows by hiring solution architects. Each new customer requires a custom implementation. Team size grows approximately linearly with customer count. Margins compress as the services-to-software ratio shifts toward services.</w:t>
            </w:r>
          </w:p>
        </w:tc>
        <w:tc>
          <w:p>
            <w:r>
              <w:rPr>
                <w:b w:val="false"/>
                <w:bCs w:val="false"/>
                <w:color w:val="1a1a1a"/>
                <w:sz w:val="20"/>
                <w:szCs w:val="20"/>
                <w:rFonts w:ascii="Calibri" w:cs="Calibri" w:eastAsia="Calibri" w:hAnsi="Calibri"/>
              </w:rPr>
              <w:t xml:space="preserve">Grows by recruiting domain experts and salespeople — not an engineering org that grows linearly with customer count. New verticals do not require new engineering hires. Team-size growth scales with platform and ops needs, not implementation work.</w:t>
            </w:r>
          </w:p>
        </w:tc>
      </w:tr>
    </w:tbl>
    <w:p>
      <w:pPr>
        <w:spacing w:after="200" w:before="0"/>
      </w:pPr>
      <w:r>
        <w:rPr>
          <w:b w:val="false"/>
          <w:bCs w:val="false"/>
          <w:i w:val="false"/>
          <w:iCs w:val="false"/>
          <w:color w:val="1a1a1a"/>
          <w:sz w:val="22"/>
          <w:szCs w:val="22"/>
          <w:rFonts w:ascii="Calibri" w:cs="Calibri" w:eastAsia="Calibri" w:hAnsi="Calibri"/>
        </w:rPr>
        <w:t xml:space="preserve">Stated plainly: SOCIII does not need to hire 5,000 engineers to cover 24 industries. It needs to recruit domain experts (who build their own workers, paid on commission via the 75% creator share) and a small sales/BD function to activate each professional community. The growth ceiling is the labor pool of professionals willing to monetize their knowledge — a fundamentally larger, and fundamentally cheaper to recruit, number than solution-architect labor.</w:t>
      </w:r>
    </w:p>
    <w:p>
      <w:r>
        <w:br w:type="page"/>
      </w:r>
    </w:p>
    <w:p>
      <w:pPr>
        <w:pStyle w:val="Heading1"/>
        <w:spacing w:before="480" w:after="200"/>
      </w:pPr>
      <w:r>
        <w:rPr>
          <w:b/>
          <w:bCs/>
          <w:color w:val="7c3aed"/>
          <w:sz w:val="34"/>
          <w:szCs w:val="34"/>
          <w:rFonts w:ascii="Calibri" w:cs="Calibri" w:eastAsia="Calibri" w:hAnsi="Calibri"/>
        </w:rPr>
        <w:t xml:space="preserve">Part IV — Defensible Position</w:t>
      </w:r>
    </w:p>
    <w:p>
      <w:pPr>
        <w:spacing w:after="200" w:before="0"/>
      </w:pPr>
      <w:r>
        <w:rPr>
          <w:b w:val="false"/>
          <w:bCs w:val="false"/>
          <w:i w:val="false"/>
          <w:iCs w:val="false"/>
          <w:color w:val="1a1a1a"/>
          <w:sz w:val="22"/>
          <w:szCs w:val="22"/>
          <w:rFonts w:ascii="Calibri" w:cs="Calibri" w:eastAsia="Calibri" w:hAnsi="Calibri"/>
        </w:rPr>
        <w:t xml:space="preserve">Two core moats, two compounders — consistent with the platform's current external positioning: RAAS (structural compliance) and The Ledger (the same Audit Trail filing, 64/073,700, described above) are the two moats that are hard to replicate without rebuilding from scratch. Studio Locker (document-driven outputs) and the creator economy/Codex compound around them.</w:t>
      </w:r>
    </w:p>
    <w:p>
      <w:pPr>
        <w:pStyle w:val="Heading2"/>
        <w:spacing w:before="320" w:after="140"/>
      </w:pPr>
      <w:r>
        <w:rPr>
          <w:b/>
          <w:bCs/>
          <w:color w:val="7c3aed"/>
          <w:sz w:val="26"/>
          <w:szCs w:val="26"/>
          <w:rFonts w:ascii="Calibri" w:cs="Calibri" w:eastAsia="Calibri" w:hAnsi="Calibri"/>
        </w:rPr>
        <w:t xml:space="preserve">4.1 The patent family</w:t>
      </w:r>
    </w:p>
    <w:p>
      <w:pPr>
        <w:spacing w:after="200" w:before="0"/>
      </w:pPr>
      <w:r>
        <w:rPr>
          <w:b w:val="false"/>
          <w:bCs w:val="false"/>
          <w:i w:val="false"/>
          <w:iCs w:val="false"/>
          <w:color w:val="1a1a1a"/>
          <w:sz w:val="22"/>
          <w:szCs w:val="22"/>
          <w:rFonts w:ascii="Calibri" w:cs="Calibri" w:eastAsia="Calibri" w:hAnsi="Calibri"/>
        </w:rPr>
        <w:t xml:space="preserve">Six provisional applications filed via USPTO EFS-Web on May 24, 2026. Conversion deadline is May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shd w:color="EEE6FF" w:val="solid"/>
          </w:tcPr>
          <w:p>
            <w:r>
              <w:rPr>
                <w:b/>
                <w:bCs/>
                <w:color w:val="1a1a1a"/>
                <w:sz w:val="20"/>
                <w:szCs w:val="20"/>
                <w:rFonts w:ascii="Calibri" w:cs="Calibri" w:eastAsia="Calibri" w:hAnsi="Calibri"/>
              </w:rPr>
              <w:t xml:space="preserve">Application</w:t>
            </w:r>
          </w:p>
        </w:tc>
        <w:tc>
          <w:tcPr>
            <w:tcW w:type="pct" w:w="52%"/>
            <w:shd w:color="EEE6FF" w:val="solid"/>
          </w:tcPr>
          <w:p>
            <w:r>
              <w:rPr>
                <w:b/>
                <w:bCs/>
                <w:color w:val="1a1a1a"/>
                <w:sz w:val="20"/>
                <w:szCs w:val="20"/>
                <w:rFonts w:ascii="Calibri" w:cs="Calibri" w:eastAsia="Calibri" w:hAnsi="Calibri"/>
              </w:rPr>
              <w:t xml:space="preserve">Coverage</w:t>
            </w:r>
          </w:p>
        </w:tc>
        <w:tc>
          <w:tcPr>
            <w:tcW w:type="pct" w:w="32%"/>
            <w:shd w:color="EEE6FF" w:val="solid"/>
          </w:tcPr>
          <w:p>
            <w:r>
              <w:rPr>
                <w:b/>
                <w:bCs/>
                <w:color w:val="1a1a1a"/>
                <w:sz w:val="20"/>
                <w:szCs w:val="20"/>
                <w:rFonts w:ascii="Calibri" w:cs="Calibri" w:eastAsia="Calibri" w:hAnsi="Calibri"/>
              </w:rPr>
              <w:t xml:space="preserve">Relevance</w:t>
            </w:r>
          </w:p>
        </w:tc>
      </w:tr>
      <w:tr>
        <w:tc>
          <w:tcPr>
            <w:tcW w:type="pct" w:w="16%"/>
          </w:tcPr>
          <w:p>
            <w:r>
              <w:rPr>
                <w:b w:val="false"/>
                <w:bCs w:val="false"/>
                <w:color w:val="1a1a1a"/>
                <w:sz w:val="20"/>
                <w:szCs w:val="20"/>
                <w:rFonts w:ascii="Calibri" w:cs="Calibri" w:eastAsia="Calibri" w:hAnsi="Calibri"/>
              </w:rPr>
              <w:t xml:space="preserve">64/073,693</w:t>
            </w:r>
          </w:p>
        </w:tc>
        <w:tc>
          <w:tcPr>
            <w:tcW w:type="pct" w:w="52%"/>
          </w:tcPr>
          <w:p>
            <w:r>
              <w:rPr>
                <w:b w:val="false"/>
                <w:bCs w:val="false"/>
                <w:color w:val="1a1a1a"/>
                <w:sz w:val="20"/>
                <w:szCs w:val="20"/>
                <w:rFonts w:ascii="Calibri" w:cs="Calibri" w:eastAsia="Calibri" w:hAnsi="Calibri"/>
              </w:rPr>
              <w:t xml:space="preserve">Knowledge Capture — pipeline by which founder + AI conversations become worker rules</w:t>
            </w:r>
          </w:p>
        </w:tc>
        <w:tc>
          <w:tcPr>
            <w:tcW w:type="pct" w:w="32%"/>
          </w:tcPr>
          <w:p>
            <w:r>
              <w:rPr>
                <w:b w:val="false"/>
                <w:bCs w:val="false"/>
                <w:color w:val="1a1a1a"/>
                <w:sz w:val="20"/>
                <w:szCs w:val="20"/>
                <w:rFonts w:ascii="Calibri" w:cs="Calibri" w:eastAsia="Calibri" w:hAnsi="Calibri"/>
              </w:rPr>
              <w:t xml:space="preserve">Sandbox upstream + worker authoring pipeline</w:t>
            </w:r>
          </w:p>
        </w:tc>
      </w:tr>
      <w:tr>
        <w:tc>
          <w:tcPr>
            <w:tcW w:type="pct" w:w="16%"/>
          </w:tcPr>
          <w:p>
            <w:r>
              <w:rPr>
                <w:b w:val="false"/>
                <w:bCs w:val="false"/>
                <w:color w:val="1a1a1a"/>
                <w:sz w:val="20"/>
                <w:szCs w:val="20"/>
                <w:rFonts w:ascii="Calibri" w:cs="Calibri" w:eastAsia="Calibri" w:hAnsi="Calibri"/>
              </w:rPr>
              <w:t xml:space="preserve">64/073,700</w:t>
            </w:r>
          </w:p>
        </w:tc>
        <w:tc>
          <w:tcPr>
            <w:tcW w:type="pct" w:w="52%"/>
          </w:tcPr>
          <w:p>
            <w:r>
              <w:rPr>
                <w:b w:val="false"/>
                <w:bCs w:val="false"/>
                <w:color w:val="1a1a1a"/>
                <w:sz w:val="20"/>
                <w:szCs w:val="20"/>
                <w:rFonts w:ascii="Calibri" w:cs="Calibri" w:eastAsia="Calibri" w:hAnsi="Calibri"/>
              </w:rPr>
              <w:t xml:space="preserve">Audit Trail — append-only event store with optional public-chain anchoring</w:t>
            </w:r>
          </w:p>
        </w:tc>
        <w:tc>
          <w:tcPr>
            <w:tcW w:type="pct" w:w="32%"/>
          </w:tcPr>
          <w:p>
            <w:r>
              <w:rPr>
                <w:b w:val="false"/>
                <w:bCs w:val="false"/>
                <w:color w:val="1a1a1a"/>
                <w:sz w:val="20"/>
                <w:szCs w:val="20"/>
                <w:rFonts w:ascii="Calibri" w:cs="Calibri" w:eastAsia="Calibri" w:hAnsi="Calibri"/>
              </w:rPr>
              <w:t xml:space="preserve">Compliance moat; also the basis of "The Ledger" positioning</w:t>
            </w:r>
          </w:p>
        </w:tc>
      </w:tr>
      <w:tr>
        <w:tc>
          <w:tcPr>
            <w:tcW w:type="pct" w:w="16%"/>
          </w:tcPr>
          <w:p>
            <w:r>
              <w:rPr>
                <w:b w:val="false"/>
                <w:bCs w:val="false"/>
                <w:color w:val="1a1a1a"/>
                <w:sz w:val="20"/>
                <w:szCs w:val="20"/>
                <w:rFonts w:ascii="Calibri" w:cs="Calibri" w:eastAsia="Calibri" w:hAnsi="Calibri"/>
              </w:rPr>
              <w:t xml:space="preserve">64/073,704</w:t>
            </w:r>
          </w:p>
        </w:tc>
        <w:tc>
          <w:tcPr>
            <w:tcW w:type="pct" w:w="52%"/>
          </w:tcPr>
          <w:p>
            <w:r>
              <w:rPr>
                <w:b w:val="false"/>
                <w:bCs w:val="false"/>
                <w:color w:val="1a1a1a"/>
                <w:sz w:val="20"/>
                <w:szCs w:val="20"/>
                <w:rFonts w:ascii="Calibri" w:cs="Calibri" w:eastAsia="Calibri" w:hAnsi="Calibri"/>
              </w:rPr>
              <w:t xml:space="preserve">Build-Without-Code — the Sandbox surface and worker-composition pipeline</w:t>
            </w:r>
          </w:p>
        </w:tc>
        <w:tc>
          <w:tcPr>
            <w:tcW w:type="pct" w:w="32%"/>
          </w:tcPr>
          <w:p>
            <w:r>
              <w:rPr>
                <w:b w:val="false"/>
                <w:bCs w:val="false"/>
                <w:color w:val="1a1a1a"/>
                <w:sz w:val="20"/>
                <w:szCs w:val="20"/>
                <w:rFonts w:ascii="Calibri" w:cs="Calibri" w:eastAsia="Calibri" w:hAnsi="Calibri"/>
              </w:rPr>
              <w:t xml:space="preserve">Accessibility moat</w:t>
            </w:r>
          </w:p>
        </w:tc>
      </w:tr>
      <w:tr>
        <w:tc>
          <w:tcPr>
            <w:tcW w:type="pct" w:w="16%"/>
          </w:tcPr>
          <w:p>
            <w:r>
              <w:rPr>
                <w:b w:val="false"/>
                <w:bCs w:val="false"/>
                <w:color w:val="1a1a1a"/>
                <w:sz w:val="20"/>
                <w:szCs w:val="20"/>
                <w:rFonts w:ascii="Calibri" w:cs="Calibri" w:eastAsia="Calibri" w:hAnsi="Calibri"/>
              </w:rPr>
              <w:t xml:space="preserve">64/073,705</w:t>
            </w:r>
          </w:p>
        </w:tc>
        <w:tc>
          <w:tcPr>
            <w:tcW w:type="pct" w:w="52%"/>
          </w:tcPr>
          <w:p>
            <w:r>
              <w:rPr>
                <w:b w:val="false"/>
                <w:bCs w:val="false"/>
                <w:color w:val="1a1a1a"/>
                <w:sz w:val="20"/>
                <w:szCs w:val="20"/>
                <w:rFonts w:ascii="Calibri" w:cs="Calibri" w:eastAsia="Calibri" w:hAnsi="Calibri"/>
              </w:rPr>
              <w:t xml:space="preserve">Escrow Locker — document control with cryptographic acknowledgment, version pinning</w:t>
            </w:r>
          </w:p>
        </w:tc>
        <w:tc>
          <w:tcPr>
            <w:tcW w:type="pct" w:w="32%"/>
          </w:tcPr>
          <w:p>
            <w:r>
              <w:rPr>
                <w:b w:val="false"/>
                <w:bCs w:val="false"/>
                <w:color w:val="1a1a1a"/>
                <w:sz w:val="20"/>
                <w:szCs w:val="20"/>
                <w:rFonts w:ascii="Calibri" w:cs="Calibri" w:eastAsia="Calibri" w:hAnsi="Calibri"/>
              </w:rPr>
              <w:t xml:space="preserve">Document control as a platform primitive</w:t>
            </w:r>
          </w:p>
        </w:tc>
      </w:tr>
      <w:tr>
        <w:tc>
          <w:tcPr>
            <w:tcW w:type="pct" w:w="16%"/>
          </w:tcPr>
          <w:p>
            <w:r>
              <w:rPr>
                <w:b w:val="false"/>
                <w:bCs w:val="false"/>
                <w:color w:val="1a1a1a"/>
                <w:sz w:val="20"/>
                <w:szCs w:val="20"/>
                <w:rFonts w:ascii="Calibri" w:cs="Calibri" w:eastAsia="Calibri" w:hAnsi="Calibri"/>
              </w:rPr>
              <w:t xml:space="preserve">64/073,706</w:t>
            </w:r>
          </w:p>
        </w:tc>
        <w:tc>
          <w:tcPr>
            <w:tcW w:type="pct" w:w="52%"/>
          </w:tcPr>
          <w:p>
            <w:r>
              <w:rPr>
                <w:b w:val="false"/>
                <w:bCs w:val="false"/>
                <w:color w:val="1a1a1a"/>
                <w:sz w:val="20"/>
                <w:szCs w:val="20"/>
                <w:rFonts w:ascii="Calibri" w:cs="Calibri" w:eastAsia="Calibri" w:hAnsi="Calibri"/>
              </w:rPr>
              <w:t xml:space="preserve">Title &amp; Property Assurance — Digital Title Certificate (DTC)</w:t>
            </w:r>
          </w:p>
        </w:tc>
        <w:tc>
          <w:tcPr>
            <w:tcW w:type="pct" w:w="32%"/>
          </w:tcPr>
          <w:p>
            <w:r>
              <w:rPr>
                <w:b w:val="false"/>
                <w:bCs w:val="false"/>
                <w:color w:val="1a1a1a"/>
                <w:sz w:val="20"/>
                <w:szCs w:val="20"/>
                <w:rFonts w:ascii="Calibri" w:cs="Calibri" w:eastAsia="Calibri" w:hAnsi="Calibri"/>
              </w:rPr>
              <w:t xml:space="preserve">Real estate &amp; title vertical; brand mark</w:t>
            </w:r>
          </w:p>
        </w:tc>
      </w:tr>
      <w:tr>
        <w:tc>
          <w:tcPr>
            <w:tcW w:type="pct" w:w="16%"/>
          </w:tcPr>
          <w:p>
            <w:r>
              <w:rPr>
                <w:b w:val="false"/>
                <w:bCs w:val="false"/>
                <w:color w:val="1a1a1a"/>
                <w:sz w:val="20"/>
                <w:szCs w:val="20"/>
                <w:rFonts w:ascii="Calibri" w:cs="Calibri" w:eastAsia="Calibri" w:hAnsi="Calibri"/>
              </w:rPr>
              <w:t xml:space="preserve">64/073,708</w:t>
            </w:r>
          </w:p>
        </w:tc>
        <w:tc>
          <w:tcPr>
            <w:tcW w:type="pct" w:w="52%"/>
          </w:tcPr>
          <w:p>
            <w:r>
              <w:rPr>
                <w:b w:val="false"/>
                <w:bCs w:val="false"/>
                <w:color w:val="1a1a1a"/>
                <w:sz w:val="20"/>
                <w:szCs w:val="20"/>
                <w:rFonts w:ascii="Calibri" w:cs="Calibri" w:eastAsia="Calibri" w:hAnsi="Calibri"/>
              </w:rPr>
              <w:t xml:space="preserve">RAAS Multi-Tier — rules engine's three-tier architecture and runtime validation</w:t>
            </w:r>
          </w:p>
        </w:tc>
        <w:tc>
          <w:tcPr>
            <w:tcW w:type="pct" w:w="32%"/>
          </w:tcPr>
          <w:p>
            <w:r>
              <w:rPr>
                <w:b w:val="false"/>
                <w:bCs w:val="false"/>
                <w:color w:val="1a1a1a"/>
                <w:sz w:val="20"/>
                <w:szCs w:val="20"/>
                <w:rFonts w:ascii="Calibri" w:cs="Calibri" w:eastAsia="Calibri" w:hAnsi="Calibri"/>
              </w:rPr>
              <w:t xml:space="preserve">Rules-engine moat</w:t>
            </w:r>
          </w:p>
        </w:tc>
      </w:tr>
    </w:tbl>
    <w:p>
      <w:pPr>
        <w:pStyle w:val="Heading2"/>
        <w:spacing w:before="320" w:after="140"/>
      </w:pPr>
      <w:r>
        <w:rPr>
          <w:b/>
          <w:bCs/>
          <w:color w:val="7c3aed"/>
          <w:sz w:val="26"/>
          <w:szCs w:val="26"/>
          <w:rFonts w:ascii="Calibri" w:cs="Calibri" w:eastAsia="Calibri" w:hAnsi="Calibri"/>
        </w:rPr>
        <w:t xml:space="preserve">4.2 The RAAS corpus</w:t>
      </w:r>
    </w:p>
    <w:p>
      <w:pPr>
        <w:spacing w:after="200" w:before="0"/>
      </w:pPr>
      <w:r>
        <w:rPr>
          <w:b w:val="false"/>
          <w:bCs w:val="false"/>
          <w:i w:val="false"/>
          <w:iCs w:val="false"/>
          <w:color w:val="1a1a1a"/>
          <w:sz w:val="22"/>
          <w:szCs w:val="22"/>
          <w:rFonts w:ascii="Calibri" w:cs="Calibri" w:eastAsia="Calibri" w:hAnsi="Calibri"/>
        </w:rPr>
        <w:t xml:space="preserve">The rules engine itself is an engineering primitive a competitor could replicate in a quarter. The corpus is not — two years of professional-rule encoding, each rule written and reviewed by someone who actually knows the rule, is the layer that does not show up in a feature comparison.</w:t>
      </w:r>
    </w:p>
    <w:p>
      <w:pPr>
        <w:pStyle w:val="Heading2"/>
        <w:spacing w:before="320" w:after="140"/>
      </w:pPr>
      <w:r>
        <w:rPr>
          <w:b/>
          <w:bCs/>
          <w:color w:val="7c3aed"/>
          <w:sz w:val="26"/>
          <w:szCs w:val="26"/>
          <w:rFonts w:ascii="Calibri" w:cs="Calibri" w:eastAsia="Calibri" w:hAnsi="Calibri"/>
        </w:rPr>
        <w:t xml:space="preserve">4.3 Production deployment — the real, current state</w:t>
      </w:r>
    </w:p>
    <w:p>
      <w:pPr>
        <w:spacing w:after="200" w:before="0"/>
      </w:pPr>
      <w:r>
        <w:rPr>
          <w:b w:val="false"/>
          <w:bCs w:val="false"/>
          <w:i w:val="false"/>
          <w:iCs w:val="false"/>
          <w:color w:val="1a1a1a"/>
          <w:sz w:val="22"/>
          <w:szCs w:val="22"/>
          <w:rFonts w:ascii="Calibri" w:cs="Calibri" w:eastAsia="Calibri" w:hAnsi="Calibri"/>
        </w:rPr>
        <w:t xml:space="preserve">SOCIII has four core verticals carrying a fully live, demo-verified, chat-grounded product today, each independently re-verified this week against the live production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color="EEE6FF" w:val="solid"/>
          </w:tcPr>
          <w:p>
            <w:r>
              <w:rPr>
                <w:b/>
                <w:bCs/>
                <w:color w:val="1a1a1a"/>
                <w:sz w:val="20"/>
                <w:szCs w:val="20"/>
                <w:rFonts w:ascii="Calibri" w:cs="Calibri" w:eastAsia="Calibri" w:hAnsi="Calibri"/>
              </w:rPr>
              <w:t xml:space="preserve">Vertical</w:t>
            </w:r>
          </w:p>
        </w:tc>
        <w:tc>
          <w:tcPr>
            <w:tcW w:type="pct" w:w="26%"/>
            <w:shd w:color="EEE6FF" w:val="solid"/>
          </w:tcPr>
          <w:p>
            <w:r>
              <w:rPr>
                <w:b/>
                <w:bCs/>
                <w:color w:val="1a1a1a"/>
                <w:sz w:val="20"/>
                <w:szCs w:val="20"/>
                <w:rFonts w:ascii="Calibri" w:cs="Calibri" w:eastAsia="Calibri" w:hAnsi="Calibri"/>
              </w:rPr>
              <w:t xml:space="preserve">Persona</w:t>
            </w:r>
          </w:p>
        </w:tc>
        <w:tc>
          <w:tcPr>
            <w:tcW w:type="pct" w:w="40%"/>
            <w:shd w:color="EEE6FF" w:val="solid"/>
          </w:tcPr>
          <w:p>
            <w:r>
              <w:rPr>
                <w:b/>
                <w:bCs/>
                <w:color w:val="1a1a1a"/>
                <w:sz w:val="20"/>
                <w:szCs w:val="20"/>
                <w:rFonts w:ascii="Calibri" w:cs="Calibri" w:eastAsia="Calibri" w:hAnsi="Calibri"/>
              </w:rPr>
              <w:t xml:space="preserve">Real regulatory/licensing driver</w:t>
            </w:r>
          </w:p>
        </w:tc>
        <w:tc>
          <w:tcPr>
            <w:tcW w:type="pct" w:w="22%"/>
            <w:shd w:color="EEE6FF" w:val="solid"/>
          </w:tcPr>
          <w:p>
            <w:r>
              <w:rPr>
                <w:b/>
                <w:bCs/>
                <w:color w:val="1a1a1a"/>
                <w:sz w:val="20"/>
                <w:szCs w:val="20"/>
                <w:rFonts w:ascii="Calibri" w:cs="Calibri" w:eastAsia="Calibri" w:hAnsi="Calibri"/>
              </w:rPr>
              <w:t xml:space="preserve">Status</w:t>
            </w:r>
          </w:p>
        </w:tc>
      </w:tr>
      <w:tr>
        <w:tc>
          <w:tcPr>
            <w:tcW w:type="pct" w:w="12%"/>
          </w:tcPr>
          <w:p>
            <w:r>
              <w:rPr>
                <w:b w:val="false"/>
                <w:bCs w:val="false"/>
                <w:color w:val="1a1a1a"/>
                <w:sz w:val="20"/>
                <w:szCs w:val="20"/>
                <w:rFonts w:ascii="Calibri" w:cs="Calibri" w:eastAsia="Calibri" w:hAnsi="Calibri"/>
              </w:rPr>
              <w:t xml:space="preserve">Aviation</w:t>
            </w:r>
          </w:p>
        </w:tc>
        <w:tc>
          <w:tcPr>
            <w:tcW w:type="pct" w:w="26%"/>
          </w:tcPr>
          <w:p>
            <w:r>
              <w:rPr>
                <w:b w:val="false"/>
                <w:bCs w:val="false"/>
                <w:color w:val="1a1a1a"/>
                <w:sz w:val="20"/>
                <w:szCs w:val="20"/>
                <w:rFonts w:ascii="Calibri" w:cs="Calibri" w:eastAsia="Calibri" w:hAnsi="Calibri"/>
              </w:rPr>
              <w:t xml:space="preserve">SKYE — pilot cockpit + copilot/dispatch/MX</w:t>
            </w:r>
          </w:p>
        </w:tc>
        <w:tc>
          <w:tcPr>
            <w:tcW w:type="pct" w:w="40%"/>
          </w:tcPr>
          <w:p>
            <w:r>
              <w:rPr>
                <w:b w:val="false"/>
                <w:bCs w:val="false"/>
                <w:color w:val="1a1a1a"/>
                <w:sz w:val="20"/>
                <w:szCs w:val="20"/>
                <w:rFonts w:ascii="Calibri" w:cs="Calibri" w:eastAsia="Calibri" w:hAnsi="Calibri"/>
              </w:rPr>
              <w:t xml:space="preserve">FAA Part 135/91: currency tracking (14 CFR 61.56/61.57), medical duration (61.23), crew qualifications and maintenance logbook requirements are mandatory, not discretionary.</w:t>
            </w:r>
          </w:p>
        </w:tc>
        <w:tc>
          <w:tcPr>
            <w:tcW w:type="pct" w:w="22%"/>
          </w:tcPr>
          <w:p>
            <w:r>
              <w:rPr>
                <w:b w:val="false"/>
                <w:bCs w:val="false"/>
                <w:color w:val="1a1a1a"/>
                <w:sz w:val="20"/>
                <w:szCs w:val="20"/>
                <w:rFonts w:ascii="Calibri" w:cs="Calibri" w:eastAsia="Calibri" w:hAnsi="Calibri"/>
              </w:rPr>
              <w:t xml:space="preserve">Live. Known gap: ground/pre-flight coverage only, no active-flight state machine yet.</w:t>
            </w:r>
          </w:p>
        </w:tc>
      </w:tr>
      <w:tr>
        <w:tc>
          <w:tcPr>
            <w:tcW w:type="pct" w:w="12%"/>
          </w:tcPr>
          <w:p>
            <w:r>
              <w:rPr>
                <w:b w:val="false"/>
                <w:bCs w:val="false"/>
                <w:color w:val="1a1a1a"/>
                <w:sz w:val="20"/>
                <w:szCs w:val="20"/>
                <w:rFonts w:ascii="Calibri" w:cs="Calibri" w:eastAsia="Calibri" w:hAnsi="Calibri"/>
              </w:rPr>
              <w:t xml:space="preserve">Nursing Education</w:t>
            </w:r>
          </w:p>
        </w:tc>
        <w:tc>
          <w:tcPr>
            <w:tcW w:type="pct" w:w="26%"/>
          </w:tcPr>
          <w:p>
            <w:r>
              <w:rPr>
                <w:b w:val="false"/>
                <w:bCs w:val="false"/>
                <w:color w:val="1a1a1a"/>
                <w:sz w:val="20"/>
                <w:szCs w:val="20"/>
                <w:rFonts w:ascii="Calibri" w:cs="Calibri" w:eastAsia="Calibri" w:hAnsi="Calibri"/>
              </w:rPr>
              <w:t xml:space="preserve">Hannah — instructor + student portals, built with Ruthie Clearwater / University of Hawaii</w:t>
            </w:r>
          </w:p>
        </w:tc>
        <w:tc>
          <w:tcPr>
            <w:tcW w:type="pct" w:w="40%"/>
          </w:tcPr>
          <w:p>
            <w:r>
              <w:rPr>
                <w:b w:val="false"/>
                <w:bCs w:val="false"/>
                <w:color w:val="1a1a1a"/>
                <w:sz w:val="20"/>
                <w:szCs w:val="20"/>
                <w:rFonts w:ascii="Calibri" w:cs="Calibri" w:eastAsia="Calibri" w:hAnsi="Calibri"/>
              </w:rPr>
              <w:t xml:space="preserve">State nursing-board licensure and accreditation requirements mandate clinical-hours tracking and competency logging before a student can sit for licensure.</w:t>
            </w:r>
          </w:p>
        </w:tc>
        <w:tc>
          <w:tcPr>
            <w:tcW w:type="pct" w:w="22%"/>
          </w:tcPr>
          <w:p>
            <w:r>
              <w:rPr>
                <w:b w:val="false"/>
                <w:bCs w:val="false"/>
                <w:color w:val="1a1a1a"/>
                <w:sz w:val="20"/>
                <w:szCs w:val="20"/>
                <w:rFonts w:ascii="Calibri" w:cs="Calibri" w:eastAsia="Calibri" w:hAnsi="Calibri"/>
              </w:rPr>
              <w:t xml:space="preserve">Live. Validation and research partnership, not revenue — the near-term value is proof and case-study data, not subscription income.</w:t>
            </w:r>
          </w:p>
        </w:tc>
      </w:tr>
      <w:tr>
        <w:tc>
          <w:tcPr>
            <w:tcW w:type="pct" w:w="12%"/>
          </w:tcPr>
          <w:p>
            <w:r>
              <w:rPr>
                <w:b w:val="false"/>
                <w:bCs w:val="false"/>
                <w:color w:val="1a1a1a"/>
                <w:sz w:val="20"/>
                <w:szCs w:val="20"/>
                <w:rFonts w:ascii="Calibri" w:cs="Calibri" w:eastAsia="Calibri" w:hAnsi="Calibri"/>
              </w:rPr>
              <w:t xml:space="preserve">Real Estate</w:t>
            </w:r>
          </w:p>
        </w:tc>
        <w:tc>
          <w:tcPr>
            <w:tcW w:type="pct" w:w="26%"/>
          </w:tcPr>
          <w:p>
            <w:r>
              <w:rPr>
                <w:b w:val="false"/>
                <w:bCs w:val="false"/>
                <w:color w:val="1a1a1a"/>
                <w:sz w:val="20"/>
                <w:szCs w:val="20"/>
                <w:rFonts w:ascii="Calibri" w:cs="Calibri" w:eastAsia="Calibri" w:hAnsi="Calibri"/>
              </w:rPr>
              <w:t xml:space="preserve">Petra — title/company + tenant portals</w:t>
            </w:r>
          </w:p>
        </w:tc>
        <w:tc>
          <w:tcPr>
            <w:tcW w:type="pct" w:w="40%"/>
          </w:tcPr>
          <w:p>
            <w:r>
              <w:rPr>
                <w:b w:val="false"/>
                <w:bCs w:val="false"/>
                <w:color w:val="1a1a1a"/>
                <w:sz w:val="20"/>
                <w:szCs w:val="20"/>
                <w:rFonts w:ascii="Calibri" w:cs="Calibri" w:eastAsia="Calibri" w:hAnsi="Calibri"/>
              </w:rPr>
              <w:t xml:space="preserve">County-recording statutes and title-insurance underwriting standards are the actual substance of title work, not an optional productivity layer.</w:t>
            </w:r>
          </w:p>
        </w:tc>
        <w:tc>
          <w:tcPr>
            <w:tcW w:type="pct" w:w="22%"/>
          </w:tcPr>
          <w:p>
            <w:r>
              <w:rPr>
                <w:b w:val="false"/>
                <w:bCs w:val="false"/>
                <w:color w:val="1a1a1a"/>
                <w:sz w:val="20"/>
                <w:szCs w:val="20"/>
                <w:rFonts w:ascii="Calibri" w:cs="Calibri" w:eastAsia="Calibri" w:hAnsi="Calibri"/>
              </w:rPr>
              <w:t xml:space="preserve">Live. Known gap: title-abstract worker is a code stub, not yet fully built.</w:t>
            </w:r>
          </w:p>
        </w:tc>
      </w:tr>
      <w:tr>
        <w:tc>
          <w:tcPr>
            <w:tcW w:type="pct" w:w="12%"/>
          </w:tcPr>
          <w:p>
            <w:r>
              <w:rPr>
                <w:b w:val="false"/>
                <w:bCs w:val="false"/>
                <w:color w:val="1a1a1a"/>
                <w:sz w:val="20"/>
                <w:szCs w:val="20"/>
                <w:rFonts w:ascii="Calibri" w:cs="Calibri" w:eastAsia="Calibri" w:hAnsi="Calibri"/>
              </w:rPr>
              <w:t xml:space="preserve">Digital Product Passport</w:t>
            </w:r>
          </w:p>
        </w:tc>
        <w:tc>
          <w:tcPr>
            <w:tcW w:type="pct" w:w="26%"/>
          </w:tcPr>
          <w:p>
            <w:r>
              <w:rPr>
                <w:b w:val="false"/>
                <w:bCs w:val="false"/>
                <w:color w:val="1a1a1a"/>
                <w:sz w:val="20"/>
                <w:szCs w:val="20"/>
                <w:rFonts w:ascii="Calibri" w:cs="Calibri" w:eastAsia="Calibri" w:hAnsi="Calibri"/>
              </w:rPr>
              <w:t xml:space="preserve">Elara — compliance passport, with Traitly (Elise van der Bel's company, Netherlands)</w:t>
            </w:r>
          </w:p>
        </w:tc>
        <w:tc>
          <w:tcPr>
            <w:tcW w:type="pct" w:w="40%"/>
          </w:tcPr>
          <w:p>
            <w:r>
              <w:rPr>
                <w:b w:val="false"/>
                <w:bCs w:val="false"/>
                <w:color w:val="1a1a1a"/>
                <w:sz w:val="20"/>
                <w:szCs w:val="20"/>
                <w:rFonts w:ascii="Calibri" w:cs="Calibri" w:eastAsia="Calibri" w:hAnsi="Calibri"/>
              </w:rPr>
              <w:t xml:space="preserve">EU Regulation (EU) 2023/1542 (Battery Regulation) Annex XIII requires a Digital Product Passport before a battery can be placed on the EU market, under the Ecodesign for Sustainable Products Regulation (EU) 2024/1781 (ESPR). SOCIII is separately establishing its own EU entity in Estonia for data residency and EU compliance posture.</w:t>
            </w:r>
          </w:p>
        </w:tc>
        <w:tc>
          <w:tcPr>
            <w:tcW w:type="pct" w:w="22%"/>
          </w:tcPr>
          <w:p>
            <w:r>
              <w:rPr>
                <w:b w:val="false"/>
                <w:bCs w:val="false"/>
                <w:color w:val="1a1a1a"/>
                <w:sz w:val="20"/>
                <w:szCs w:val="20"/>
                <w:rFonts w:ascii="Calibri" w:cs="Calibri" w:eastAsia="Calibri" w:hAnsi="Calibri"/>
              </w:rPr>
              <w:t xml:space="preserve">Live. EU entity registration and E&amp;O insurance openly shown as not-yet-bound, by design.</w:t>
            </w:r>
          </w:p>
        </w:tc>
      </w:tr>
    </w:tbl>
    <w:p>
      <w:pPr>
        <w:spacing w:after="200" w:before="0"/>
      </w:pPr>
      <w:r>
        <w:rPr>
          <w:b w:val="false"/>
          <w:bCs w:val="false"/>
          <w:i w:val="false"/>
          <w:iCs w:val="false"/>
          <w:color w:val="1a1a1a"/>
          <w:sz w:val="22"/>
          <w:szCs w:val="22"/>
          <w:rFonts w:ascii="Calibri" w:cs="Calibri" w:eastAsia="Calibri" w:hAnsi="Calibri"/>
        </w:rPr>
        <w:t xml:space="preserve">The remaining ~20 industries in the 345-worker catalog (government, auto dealer, banking, web3, and others) are real, rules-encoded worker definitions — not yet carried through to a live demo. That is precisely what this capital converts: catalog breadth into deployed, revenue-generating verticals, at the capital-efficiency already proven on the first four.</w:t>
      </w:r>
    </w:p>
    <w:p>
      <w:r>
        <w:br w:type="page"/>
      </w:r>
    </w:p>
    <w:p>
      <w:pPr>
        <w:pStyle w:val="Heading1"/>
        <w:spacing w:before="480" w:after="200"/>
      </w:pPr>
      <w:r>
        <w:rPr>
          <w:b/>
          <w:bCs/>
          <w:color w:val="7c3aed"/>
          <w:sz w:val="34"/>
          <w:szCs w:val="34"/>
          <w:rFonts w:ascii="Calibri" w:cs="Calibri" w:eastAsia="Calibri" w:hAnsi="Calibri"/>
        </w:rPr>
        <w:t xml:space="preserve">Part V — Team &amp; Governance</w:t>
      </w:r>
    </w:p>
    <w:p>
      <w:pPr>
        <w:pStyle w:val="Heading2"/>
        <w:spacing w:before="320" w:after="140"/>
      </w:pPr>
      <w:r>
        <w:rPr>
          <w:b/>
          <w:bCs/>
          <w:color w:val="7c3aed"/>
          <w:sz w:val="26"/>
          <w:szCs w:val="26"/>
          <w:rFonts w:ascii="Calibri" w:cs="Calibri" w:eastAsia="Calibri" w:hAnsi="Calibri"/>
        </w:rPr>
        <w:t xml:space="preserve">5.1 Not headcount. An AI shop.</w:t>
      </w:r>
    </w:p>
    <w:p>
      <w:pPr>
        <w:spacing w:after="200" w:before="0"/>
      </w:pPr>
      <w:r>
        <w:rPr>
          <w:b w:val="false"/>
          <w:bCs w:val="false"/>
          <w:i w:val="false"/>
          <w:iCs w:val="false"/>
          <w:color w:val="1a1a1a"/>
          <w:sz w:val="22"/>
          <w:szCs w:val="22"/>
          <w:rFonts w:ascii="Calibri" w:cs="Calibri" w:eastAsia="Calibri" w:hAnsi="Calibri"/>
        </w:rPr>
        <w:t xml:space="preserve">SOCIII runs on SOCIII. The platform's own workers run the company: Alex (Chief of Staff), Marketing, Accounting, HR, Contacts, Fundraise, Control Center.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Name</w:t>
            </w:r>
          </w:p>
        </w:tc>
        <w:tc>
          <w:tcPr>
            <w:shd w:color="EEE6FF" w:val="solid"/>
          </w:tcPr>
          <w:p>
            <w:r>
              <w:rPr>
                <w:b/>
                <w:bCs/>
                <w:color w:val="1a1a1a"/>
                <w:sz w:val="20"/>
                <w:szCs w:val="20"/>
                <w:rFonts w:ascii="Calibri" w:cs="Calibri" w:eastAsia="Calibri" w:hAnsi="Calibri"/>
              </w:rPr>
              <w:t xml:space="preserve">Background</w:t>
            </w:r>
          </w:p>
        </w:tc>
        <w:tc>
          <w:tcPr>
            <w:shd w:color="EEE6FF" w:val="solid"/>
          </w:tcPr>
          <w:p>
            <w:r>
              <w:rPr>
                <w:b/>
                <w:bCs/>
                <w:color w:val="1a1a1a"/>
                <w:sz w:val="20"/>
                <w:szCs w:val="20"/>
                <w:rFonts w:ascii="Calibri" w:cs="Calibri" w:eastAsia="Calibri" w:hAnsi="Calibri"/>
              </w:rPr>
              <w:t xml:space="preserve">Scope at SOCIII</w:t>
            </w:r>
          </w:p>
        </w:tc>
      </w:tr>
      <w:tr>
        <w:tc>
          <w:p>
            <w:r>
              <w:rPr>
                <w:b w:val="false"/>
                <w:bCs w:val="false"/>
                <w:color w:val="1a1a1a"/>
                <w:sz w:val="20"/>
                <w:szCs w:val="20"/>
                <w:rFonts w:ascii="Calibri" w:cs="Calibri" w:eastAsia="Calibri" w:hAnsi="Calibri"/>
              </w:rPr>
              <w:t xml:space="preserve">Sean Lee Combs — Founder &amp; CEO</w:t>
            </w:r>
          </w:p>
        </w:tc>
        <w:tc>
          <w:p>
            <w:r>
              <w:rPr>
                <w:b w:val="false"/>
                <w:bCs w:val="false"/>
                <w:color w:val="1a1a1a"/>
                <w:sz w:val="20"/>
                <w:szCs w:val="20"/>
                <w:rFonts w:ascii="Calibri" w:cs="Calibri" w:eastAsia="Calibri" w:hAnsi="Calibri"/>
              </w:rPr>
              <w:t xml:space="preserve">Aviation · RE Development · Technology spine. Active pilot.</w:t>
            </w:r>
          </w:p>
        </w:tc>
        <w:tc>
          <w:p>
            <w:r>
              <w:rPr>
                <w:b w:val="false"/>
                <w:bCs w:val="false"/>
                <w:color w:val="1a1a1a"/>
                <w:sz w:val="20"/>
                <w:szCs w:val="20"/>
                <w:rFonts w:ascii="Calibri" w:cs="Calibri" w:eastAsia="Calibri" w:hAnsi="Calibri"/>
              </w:rPr>
              <w:t xml:space="preserve">Platform, product, engineering, operations. Runs the back-office worker suite.</w:t>
            </w:r>
          </w:p>
        </w:tc>
      </w:tr>
      <w:tr>
        <w:tc>
          <w:p>
            <w:r>
              <w:rPr>
                <w:b w:val="false"/>
                <w:bCs w:val="false"/>
                <w:color w:val="1a1a1a"/>
                <w:sz w:val="20"/>
                <w:szCs w:val="20"/>
                <w:rFonts w:ascii="Calibri" w:cs="Calibri" w:eastAsia="Calibri" w:hAnsi="Calibri"/>
              </w:rPr>
              <w:t xml:space="preserve">Kent Redwine — Fundraising</w:t>
            </w:r>
          </w:p>
        </w:tc>
        <w:tc>
          <w:p>
            <w:r>
              <w:rPr>
                <w:b w:val="false"/>
                <w:bCs w:val="false"/>
                <w:color w:val="1a1a1a"/>
                <w:sz w:val="20"/>
                <w:szCs w:val="20"/>
                <w:rFonts w:ascii="Calibri" w:cs="Calibri" w:eastAsia="Calibri" w:hAnsi="Calibri"/>
              </w:rPr>
              <w:t xml:space="preserve">Bank of America · Thomas Weisel · capital markets.</w:t>
            </w:r>
          </w:p>
        </w:tc>
        <w:tc>
          <w:p>
            <w:r>
              <w:rPr>
                <w:b w:val="false"/>
                <w:bCs w:val="false"/>
                <w:color w:val="1a1a1a"/>
                <w:sz w:val="20"/>
                <w:szCs w:val="20"/>
                <w:rFonts w:ascii="Calibri" w:cs="Calibri" w:eastAsia="Calibri" w:hAnsi="Calibri"/>
              </w:rPr>
              <w:t xml:space="preserve">Manages investor relations and fundraising strategy. 15% milestone-vested + 5% success fee on capital sourced.</w:t>
            </w:r>
          </w:p>
        </w:tc>
      </w:tr>
      <w:tr>
        <w:tc>
          <w:p>
            <w:r>
              <w:rPr>
                <w:b w:val="false"/>
                <w:bCs w:val="false"/>
                <w:color w:val="1a1a1a"/>
                <w:sz w:val="20"/>
                <w:szCs w:val="20"/>
                <w:rFonts w:ascii="Calibri" w:cs="Calibri" w:eastAsia="Calibri" w:hAnsi="Calibri"/>
              </w:rPr>
              <w:t xml:space="preserve">Scott Eschelman — Advisor, BuildSF Pilot Program</w:t>
            </w:r>
          </w:p>
        </w:tc>
        <w:tc>
          <w:p>
            <w:r>
              <w:rPr>
                <w:b w:val="false"/>
                <w:bCs w:val="false"/>
                <w:color w:val="1a1a1a"/>
                <w:sz w:val="20"/>
                <w:szCs w:val="20"/>
                <w:rFonts w:ascii="Calibri" w:cs="Calibri" w:eastAsia="Calibri" w:hAnsi="Calibri"/>
              </w:rPr>
              <w:t xml:space="preserve">BuildSF · California mixed-use developer.</w:t>
            </w:r>
          </w:p>
        </w:tc>
        <w:tc>
          <w:p>
            <w:r>
              <w:rPr>
                <w:b w:val="false"/>
                <w:bCs w:val="false"/>
                <w:color w:val="1a1a1a"/>
                <w:sz w:val="20"/>
                <w:szCs w:val="20"/>
                <w:rFonts w:ascii="Calibri" w:cs="Calibri" w:eastAsia="Calibri" w:hAnsi="Calibri"/>
              </w:rPr>
              <w:t xml:space="preserve">Mixed-use development pilot in progress — details to follow.</w:t>
            </w:r>
          </w:p>
        </w:tc>
      </w:tr>
      <w:tr>
        <w:tc>
          <w:p>
            <w:r>
              <w:rPr>
                <w:b w:val="false"/>
                <w:bCs w:val="false"/>
                <w:color w:val="1a1a1a"/>
                <w:sz w:val="20"/>
                <w:szCs w:val="20"/>
                <w:rFonts w:ascii="Calibri" w:cs="Calibri" w:eastAsia="Calibri" w:hAnsi="Calibri"/>
              </w:rPr>
              <w:t xml:space="preserve">Ruthie Clearwater, PhD — Advisor, Nursing Education</w:t>
            </w:r>
          </w:p>
        </w:tc>
        <w:tc>
          <w:p>
            <w:r>
              <w:rPr>
                <w:b w:val="false"/>
                <w:bCs w:val="false"/>
                <w:color w:val="1a1a1a"/>
                <w:sz w:val="20"/>
                <w:szCs w:val="20"/>
                <w:rFonts w:ascii="Calibri" w:cs="Calibri" w:eastAsia="Calibri" w:hAnsi="Calibri"/>
              </w:rPr>
              <w:t xml:space="preserve">University of Hawai'i nursing · EMS flight nurse.</w:t>
            </w:r>
          </w:p>
        </w:tc>
        <w:tc>
          <w:p>
            <w:r>
              <w:rPr>
                <w:b w:val="false"/>
                <w:bCs w:val="false"/>
                <w:color w:val="1a1a1a"/>
                <w:sz w:val="20"/>
                <w:szCs w:val="20"/>
                <w:rFonts w:ascii="Calibri" w:cs="Calibri" w:eastAsia="Calibri" w:hAnsi="Calibri"/>
              </w:rPr>
              <w:t xml:space="preserve">Live, real partnership — University of Hawaii Nursing School. Validation/research relationship, not revenue (see Part IV.3).</w:t>
            </w:r>
          </w:p>
        </w:tc>
      </w:tr>
      <w:tr>
        <w:tc>
          <w:p>
            <w:r>
              <w:rPr>
                <w:b w:val="false"/>
                <w:bCs w:val="false"/>
                <w:color w:val="1a1a1a"/>
                <w:sz w:val="20"/>
                <w:szCs w:val="20"/>
                <w:rFonts w:ascii="Calibri" w:cs="Calibri" w:eastAsia="Calibri" w:hAnsi="Calibri"/>
              </w:rPr>
              <w:t xml:space="preserve">Elise van der Bel — Advisor, EU Compliance</w:t>
            </w:r>
          </w:p>
        </w:tc>
        <w:tc>
          <w:p>
            <w:r>
              <w:rPr>
                <w:b w:val="false"/>
                <w:bCs w:val="false"/>
                <w:color w:val="1a1a1a"/>
                <w:sz w:val="20"/>
                <w:szCs w:val="20"/>
                <w:rFonts w:ascii="Calibri" w:cs="Calibri" w:eastAsia="Calibri" w:hAnsi="Calibri"/>
              </w:rPr>
              <w:t xml:space="preserve">EU ecommerce · Digital Product Passport regulation.</w:t>
            </w:r>
          </w:p>
        </w:tc>
        <w:tc>
          <w:p>
            <w:r>
              <w:rPr>
                <w:b w:val="false"/>
                <w:bCs w:val="false"/>
                <w:color w:val="1a1a1a"/>
                <w:sz w:val="20"/>
                <w:szCs w:val="20"/>
                <w:rFonts w:ascii="Calibri" w:cs="Calibri" w:eastAsia="Calibri" w:hAnsi="Calibri"/>
              </w:rPr>
              <w:t xml:space="preserve">Live, real partnership — Traitly, DPP EU.</w:t>
            </w:r>
          </w:p>
        </w:tc>
      </w:tr>
      <w:tr>
        <w:tc>
          <w:p>
            <w:r>
              <w:rPr>
                <w:b w:val="false"/>
                <w:bCs w:val="false"/>
                <w:color w:val="1a1a1a"/>
                <w:sz w:val="20"/>
                <w:szCs w:val="20"/>
                <w:rFonts w:ascii="Calibri" w:cs="Calibri" w:eastAsia="Calibri" w:hAnsi="Calibri"/>
              </w:rPr>
              <w:t xml:space="preserve">Mike Lee — Title and Mortgage Lending</w:t>
            </w:r>
          </w:p>
        </w:tc>
        <w:tc>
          <w:p>
            <w:r>
              <w:rPr>
                <w:b w:val="false"/>
                <w:bCs w:val="false"/>
                <w:color w:val="1a1a1a"/>
                <w:sz w:val="20"/>
                <w:szCs w:val="20"/>
                <w:rFonts w:ascii="Calibri" w:cs="Calibri" w:eastAsia="Calibri" w:hAnsi="Calibri"/>
              </w:rPr>
              <w:t xml:space="preserve">Title &amp; mortgage lending background.</w:t>
            </w:r>
          </w:p>
        </w:tc>
        <w:tc>
          <w:p>
            <w:r>
              <w:rPr>
                <w:b w:val="false"/>
                <w:bCs w:val="false"/>
                <w:color w:val="1a1a1a"/>
                <w:sz w:val="20"/>
                <w:szCs w:val="20"/>
                <w:rFonts w:ascii="Calibri" w:cs="Calibri" w:eastAsia="Calibri" w:hAnsi="Calibri"/>
              </w:rPr>
              <w:t xml:space="preserve">Early stage — compliance vertical concept, scoping, build not yet started.</w:t>
            </w:r>
          </w:p>
        </w:tc>
      </w:tr>
      <w:tr>
        <w:tc>
          <w:p>
            <w:r>
              <w:rPr>
                <w:b w:val="false"/>
                <w:bCs w:val="false"/>
                <w:color w:val="1a1a1a"/>
                <w:sz w:val="20"/>
                <w:szCs w:val="20"/>
                <w:rFonts w:ascii="Calibri" w:cs="Calibri" w:eastAsia="Calibri" w:hAnsi="Calibri"/>
              </w:rPr>
              <w:t xml:space="preserve">Robert Rosenberg</w:t>
            </w:r>
          </w:p>
        </w:tc>
        <w:tc>
          <w:p>
            <w:r>
              <w:rPr>
                <w:b w:val="false"/>
                <w:bCs w:val="false"/>
                <w:color w:val="1a1a1a"/>
                <w:sz w:val="20"/>
                <w:szCs w:val="20"/>
                <w:rFonts w:ascii="Calibri" w:cs="Calibri" w:eastAsia="Calibri" w:hAnsi="Calibri"/>
              </w:rPr>
              <w:t xml:space="preserve">Oracle · infrastructure · legal · compliance.</w:t>
            </w:r>
          </w:p>
        </w:tc>
        <w:tc>
          <w:p>
            <w:r>
              <w:rPr>
                <w:b w:val="false"/>
                <w:bCs w:val="false"/>
                <w:color w:val="1a1a1a"/>
                <w:sz w:val="20"/>
                <w:szCs w:val="20"/>
                <w:rFonts w:ascii="Calibri" w:cs="Calibri" w:eastAsia="Calibri" w:hAnsi="Calibri"/>
              </w:rPr>
              <w:t xml:space="preserve">On-demand specialty workers as needed. Note: also a named creditor in Part VII's debt-service line — same individual in two real roles; flagged here for clarity, not an error to the extent both are accurate.</w:t>
            </w:r>
          </w:p>
        </w:tc>
      </w:tr>
      <w:tr>
        <w:tc>
          <w:p>
            <w:r>
              <w:rPr>
                <w:b w:val="false"/>
                <w:bCs w:val="false"/>
                <w:color w:val="1a1a1a"/>
                <w:sz w:val="20"/>
                <w:szCs w:val="20"/>
                <w:rFonts w:ascii="Calibri" w:cs="Calibri" w:eastAsia="Calibri" w:hAnsi="Calibri"/>
              </w:rPr>
              <w:t xml:space="preserve">Alex — AI Chief of Staff</w:t>
            </w:r>
          </w:p>
        </w:tc>
        <w:tc>
          <w:p>
            <w:r>
              <w:rPr>
                <w:b w:val="false"/>
                <w:bCs w:val="false"/>
                <w:color w:val="1a1a1a"/>
                <w:sz w:val="20"/>
                <w:szCs w:val="20"/>
                <w:rFonts w:ascii="Calibri" w:cs="Calibri" w:eastAsia="Calibri" w:hAnsi="Calibri"/>
              </w:rPr>
              <w:t xml:space="preserve">Platform-entitled AI worker present in every SOCIII account on signup.</w:t>
            </w:r>
          </w:p>
        </w:tc>
        <w:tc>
          <w:p>
            <w:r>
              <w:rPr>
                <w:b w:val="false"/>
                <w:bCs w:val="false"/>
                <w:color w:val="1a1a1a"/>
                <w:sz w:val="20"/>
                <w:szCs w:val="20"/>
                <w:rFonts w:ascii="Calibri" w:cs="Calibri" w:eastAsia="Calibri" w:hAnsi="Calibri"/>
              </w:rPr>
              <w:t xml:space="preserve">Customer-facing IR, sales, support across all surfaces. Not headcount.</w:t>
            </w:r>
          </w:p>
        </w:tc>
      </w:tr>
    </w:tbl>
    <w:p>
      <w:pPr>
        <w:pStyle w:val="Heading2"/>
        <w:spacing w:before="320" w:after="140"/>
      </w:pPr>
      <w:r>
        <w:rPr>
          <w:b/>
          <w:bCs/>
          <w:color w:val="7c3aed"/>
          <w:sz w:val="26"/>
          <w:szCs w:val="26"/>
          <w:rFonts w:ascii="Calibri" w:cs="Calibri" w:eastAsia="Calibri" w:hAnsi="Calibri"/>
        </w:rPr>
        <w:t xml:space="preserve">5.2 Post-round hiring plan</w:t>
      </w:r>
    </w:p>
    <w:p>
      <w:pPr>
        <w:spacing w:after="200" w:before="0"/>
      </w:pPr>
      <w:r>
        <w:rPr>
          <w:b w:val="false"/>
          <w:bCs w:val="false"/>
          <w:i w:val="false"/>
          <w:iCs w:val="false"/>
          <w:color w:val="1a1a1a"/>
          <w:sz w:val="22"/>
          <w:szCs w:val="22"/>
          <w:rFonts w:ascii="Calibri" w:cs="Calibri" w:eastAsia="Calibri" w:hAnsi="Calibri"/>
        </w:rPr>
        <w:t xml:space="preserve">The deliberate non-hire is solution architects — zero planned. SOCIII scales by recruiting domain experts and a small sales/BD function, not a services org.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Role</w:t>
            </w:r>
          </w:p>
        </w:tc>
        <w:tc>
          <w:tcPr>
            <w:shd w:color="EEE6FF" w:val="solid"/>
          </w:tcPr>
          <w:p>
            <w:r>
              <w:rPr>
                <w:b/>
                <w:bCs/>
                <w:color w:val="1a1a1a"/>
                <w:sz w:val="20"/>
                <w:szCs w:val="20"/>
                <w:rFonts w:ascii="Calibri" w:cs="Calibri" w:eastAsia="Calibri" w:hAnsi="Calibri"/>
              </w:rPr>
              <w:t xml:space="preserve">Count</w:t>
            </w:r>
          </w:p>
        </w:tc>
        <w:tc>
          <w:tcPr>
            <w:shd w:color="EEE6FF" w:val="solid"/>
          </w:tcPr>
          <w:p>
            <w:r>
              <w:rPr>
                <w:b/>
                <w:bCs/>
                <w:color w:val="1a1a1a"/>
                <w:sz w:val="20"/>
                <w:szCs w:val="20"/>
                <w:rFonts w:ascii="Calibri" w:cs="Calibri" w:eastAsia="Calibri" w:hAnsi="Calibri"/>
              </w:rPr>
              <w:t xml:space="preserve">Profile</w:t>
            </w:r>
          </w:p>
        </w:tc>
      </w:tr>
      <w:tr>
        <w:tc>
          <w:p>
            <w:r>
              <w:rPr>
                <w:b w:val="false"/>
                <w:bCs w:val="false"/>
                <w:color w:val="1a1a1a"/>
                <w:sz w:val="20"/>
                <w:szCs w:val="20"/>
                <w:rFonts w:ascii="Calibri" w:cs="Calibri" w:eastAsia="Calibri" w:hAnsi="Calibri"/>
              </w:rPr>
              <w:t xml:space="preserve">Senior generalist engineer</w:t>
            </w:r>
          </w:p>
        </w:tc>
        <w:tc>
          <w:p>
            <w:r>
              <w:rPr>
                <w:b w:val="false"/>
                <w:bCs w:val="false"/>
                <w:color w:val="1a1a1a"/>
                <w:sz w:val="20"/>
                <w:szCs w:val="20"/>
                <w:rFonts w:ascii="Calibri" w:cs="Calibri" w:eastAsia="Calibri" w:hAnsi="Calibri"/>
              </w:rPr>
              <w:t xml:space="preserve">2–3</w:t>
            </w:r>
          </w:p>
        </w:tc>
        <w:tc>
          <w:p>
            <w:r>
              <w:rPr>
                <w:b w:val="false"/>
                <w:bCs w:val="false"/>
                <w:color w:val="1a1a1a"/>
                <w:sz w:val="20"/>
                <w:szCs w:val="20"/>
                <w:rFonts w:ascii="Calibri" w:cs="Calibri" w:eastAsia="Calibri" w:hAnsi="Calibri"/>
              </w:rPr>
              <w:t xml:space="preserve">Cross-stack; rules engine, audit layer, worker-composition pipeline.</w:t>
            </w:r>
          </w:p>
        </w:tc>
      </w:tr>
      <w:tr>
        <w:tc>
          <w:p>
            <w:r>
              <w:rPr>
                <w:b w:val="false"/>
                <w:bCs w:val="false"/>
                <w:color w:val="1a1a1a"/>
                <w:sz w:val="20"/>
                <w:szCs w:val="20"/>
                <w:rFonts w:ascii="Calibri" w:cs="Calibri" w:eastAsia="Calibri" w:hAnsi="Calibri"/>
              </w:rPr>
              <w:t xml:space="preserve">Product designer</w:t>
            </w:r>
          </w:p>
        </w:tc>
        <w:tc>
          <w:p>
            <w:r>
              <w:rPr>
                <w:b w:val="false"/>
                <w:bCs w:val="false"/>
                <w:color w:val="1a1a1a"/>
                <w:sz w:val="20"/>
                <w:szCs w:val="20"/>
                <w:rFonts w:ascii="Calibri" w:cs="Calibri" w:eastAsia="Calibri" w:hAnsi="Calibri"/>
              </w:rPr>
              <w:t xml:space="preserve">1</w:t>
            </w:r>
          </w:p>
        </w:tc>
        <w:tc>
          <w:p>
            <w:r>
              <w:rPr>
                <w:b w:val="false"/>
                <w:bCs w:val="false"/>
                <w:color w:val="1a1a1a"/>
                <w:sz w:val="20"/>
                <w:szCs w:val="20"/>
                <w:rFonts w:ascii="Calibri" w:cs="Calibri" w:eastAsia="Calibri" w:hAnsi="Calibri"/>
              </w:rPr>
              <w:t xml:space="preserve">Accessibility for non-engineer domain experts is the design constraint.</w:t>
            </w:r>
          </w:p>
        </w:tc>
      </w:tr>
      <w:tr>
        <w:tc>
          <w:p>
            <w:r>
              <w:rPr>
                <w:b w:val="false"/>
                <w:bCs w:val="false"/>
                <w:color w:val="1a1a1a"/>
                <w:sz w:val="20"/>
                <w:szCs w:val="20"/>
                <w:rFonts w:ascii="Calibri" w:cs="Calibri" w:eastAsia="Calibri" w:hAnsi="Calibri"/>
              </w:rPr>
              <w:t xml:space="preserve">Solution architects</w:t>
            </w:r>
          </w:p>
        </w:tc>
        <w:tc>
          <w:p>
            <w:r>
              <w:rPr>
                <w:b w:val="false"/>
                <w:bCs w:val="false"/>
                <w:color w:val="1a1a1a"/>
                <w:sz w:val="20"/>
                <w:szCs w:val="20"/>
                <w:rFonts w:ascii="Calibri" w:cs="Calibri" w:eastAsia="Calibri" w:hAnsi="Calibri"/>
              </w:rPr>
              <w:t xml:space="preserve">0</w:t>
            </w:r>
          </w:p>
        </w:tc>
        <w:tc>
          <w:p>
            <w:r>
              <w:rPr>
                <w:b w:val="false"/>
                <w:bCs w:val="false"/>
                <w:color w:val="1a1a1a"/>
                <w:sz w:val="20"/>
                <w:szCs w:val="20"/>
                <w:rFonts w:ascii="Calibri" w:cs="Calibri" w:eastAsia="Calibri" w:hAnsi="Calibri"/>
              </w:rPr>
              <w:t xml:space="preserve">Intentionally zero — the team-risk inversion is the structural commitment.</w:t>
            </w:r>
          </w:p>
        </w:tc>
      </w:tr>
    </w:tbl>
    <w:p>
      <w:pPr>
        <w:pStyle w:val="Heading2"/>
        <w:spacing w:before="320" w:after="140"/>
      </w:pPr>
      <w:r>
        <w:rPr>
          <w:b/>
          <w:bCs/>
          <w:color w:val="7c3aed"/>
          <w:sz w:val="26"/>
          <w:szCs w:val="26"/>
          <w:rFonts w:ascii="Calibri" w:cs="Calibri" w:eastAsia="Calibri" w:hAnsi="Calibri"/>
        </w:rPr>
        <w:t xml:space="preserve">5.3 IP &amp; governance posture</w:t>
      </w:r>
    </w:p>
    <w:p>
      <w:pPr>
        <w:spacing w:after="200" w:before="0"/>
      </w:pPr>
      <w:r>
        <w:rPr>
          <w:b w:val="false"/>
          <w:bCs w:val="false"/>
          <w:i w:val="false"/>
          <w:iCs w:val="false"/>
          <w:color w:val="1a1a1a"/>
          <w:sz w:val="22"/>
          <w:szCs w:val="22"/>
          <w:rFonts w:ascii="Calibri" w:cs="Calibri" w:eastAsia="Calibri" w:hAnsi="Calibri"/>
        </w:rPr>
        <w:t xml:space="preserve">Day 0 IP assignment. All pre-formation IP was assigned to SOCIII Inc. at formation. Every contributor with repo or data access has signed an Invention Assignment Agreement (IAA) before access.</w:t>
      </w:r>
    </w:p>
    <w:p>
      <w:pPr>
        <w:spacing w:after="200" w:before="0"/>
      </w:pPr>
      <w:r>
        <w:rPr>
          <w:b w:val="false"/>
          <w:bCs w:val="false"/>
          <w:i w:val="false"/>
          <w:iCs w:val="false"/>
          <w:color w:val="1a1a1a"/>
          <w:sz w:val="22"/>
          <w:szCs w:val="22"/>
          <w:rFonts w:ascii="Calibri" w:cs="Calibri" w:eastAsia="Calibri" w:hAnsi="Calibri"/>
        </w:rPr>
        <w:t xml:space="preserve">Sole-manager governance. Sean is the sole founder structurally; the company operates under sole-manager governance through the Series A trigger ($150K MRR).</w:t>
      </w:r>
    </w:p>
    <w:p>
      <w:r>
        <w:br w:type="page"/>
      </w:r>
    </w:p>
    <w:p>
      <w:pPr>
        <w:pStyle w:val="Heading1"/>
        <w:spacing w:before="480" w:after="200"/>
      </w:pPr>
      <w:r>
        <w:rPr>
          <w:b/>
          <w:bCs/>
          <w:color w:val="7c3aed"/>
          <w:sz w:val="34"/>
          <w:szCs w:val="34"/>
          <w:rFonts w:ascii="Calibri" w:cs="Calibri" w:eastAsia="Calibri" w:hAnsi="Calibri"/>
        </w:rPr>
        <w:t xml:space="preserve">Part VI — Capital Structure</w:t>
      </w:r>
    </w:p>
    <w:p>
      <w:pPr>
        <w:pStyle w:val="Heading2"/>
        <w:spacing w:before="320" w:after="140"/>
      </w:pPr>
      <w:r>
        <w:rPr>
          <w:b/>
          <w:bCs/>
          <w:color w:val="7c3aed"/>
          <w:sz w:val="26"/>
          <w:szCs w:val="26"/>
          <w:rFonts w:ascii="Calibri" w:cs="Calibri" w:eastAsia="Calibri" w:hAnsi="Calibri"/>
        </w:rPr>
        <w:t xml:space="preserve">6.1 Cap table (illustrative post-round)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EEE6FF" w:val="solid"/>
          </w:tcPr>
          <w:p>
            <w:r>
              <w:rPr>
                <w:b/>
                <w:bCs/>
                <w:color w:val="1a1a1a"/>
                <w:sz w:val="20"/>
                <w:szCs w:val="20"/>
                <w:rFonts w:ascii="Calibri" w:cs="Calibri" w:eastAsia="Calibri" w:hAnsi="Calibri"/>
              </w:rPr>
              <w:t xml:space="preserve">Allocation</w:t>
            </w:r>
          </w:p>
        </w:tc>
        <w:tc>
          <w:tcPr>
            <w:shd w:color="EEE6FF" w:val="solid"/>
          </w:tcPr>
          <w:p>
            <w:r>
              <w:rPr>
                <w:b/>
                <w:bCs/>
                <w:color w:val="1a1a1a"/>
                <w:sz w:val="20"/>
                <w:szCs w:val="20"/>
                <w:rFonts w:ascii="Calibri" w:cs="Calibri" w:eastAsia="Calibri" w:hAnsi="Calibri"/>
              </w:rPr>
              <w:t xml:space="preserve">Post-round %</w:t>
            </w:r>
          </w:p>
        </w:tc>
      </w:tr>
      <w:tr>
        <w:tc>
          <w:p>
            <w:r>
              <w:rPr>
                <w:b w:val="false"/>
                <w:bCs w:val="false"/>
                <w:color w:val="1a1a1a"/>
                <w:sz w:val="20"/>
                <w:szCs w:val="20"/>
                <w:rFonts w:ascii="Calibri" w:cs="Calibri" w:eastAsia="Calibri" w:hAnsi="Calibri"/>
              </w:rPr>
              <w:t xml:space="preserve">Founder (Sean Lee Combs)</w:t>
            </w:r>
          </w:p>
        </w:tc>
        <w:tc>
          <w:p>
            <w:r>
              <w:rPr>
                <w:b w:val="false"/>
                <w:bCs w:val="false"/>
                <w:color w:val="1a1a1a"/>
                <w:sz w:val="20"/>
                <w:szCs w:val="20"/>
                <w:rFonts w:ascii="Calibri" w:cs="Calibri" w:eastAsia="Calibri" w:hAnsi="Calibri"/>
              </w:rPr>
              <w:t xml:space="preserve">~49.0%</w:t>
            </w:r>
          </w:p>
        </w:tc>
      </w:tr>
      <w:tr>
        <w:tc>
          <w:p>
            <w:r>
              <w:rPr>
                <w:b w:val="false"/>
                <w:bCs w:val="false"/>
                <w:color w:val="1a1a1a"/>
                <w:sz w:val="20"/>
                <w:szCs w:val="20"/>
                <w:rFonts w:ascii="Calibri" w:cs="Calibri" w:eastAsia="Calibri" w:hAnsi="Calibri"/>
              </w:rPr>
              <w:t xml:space="preserve">Cofounder (Kent Redwine, milestone-vested)</w:t>
            </w:r>
          </w:p>
        </w:tc>
        <w:tc>
          <w:p>
            <w:r>
              <w:rPr>
                <w:b w:val="false"/>
                <w:bCs w:val="false"/>
                <w:color w:val="1a1a1a"/>
                <w:sz w:val="20"/>
                <w:szCs w:val="20"/>
                <w:rFonts w:ascii="Calibri" w:cs="Calibri" w:eastAsia="Calibri" w:hAnsi="Calibri"/>
              </w:rPr>
              <w:t xml:space="preserve">15.0%</w:t>
            </w:r>
          </w:p>
        </w:tc>
      </w:tr>
      <w:tr>
        <w:tc>
          <w:p>
            <w:r>
              <w:rPr>
                <w:b w:val="false"/>
                <w:bCs w:val="false"/>
                <w:color w:val="1a1a1a"/>
                <w:sz w:val="20"/>
                <w:szCs w:val="20"/>
                <w:rFonts w:ascii="Calibri" w:cs="Calibri" w:eastAsia="Calibri" w:hAnsi="Calibri"/>
              </w:rPr>
              <w:t xml:space="preserve">Equity pool — advisors + future hires + creator-path</w:t>
            </w:r>
          </w:p>
        </w:tc>
        <w:tc>
          <w:p>
            <w:r>
              <w:rPr>
                <w:b w:val="false"/>
                <w:bCs w:val="false"/>
                <w:color w:val="1a1a1a"/>
                <w:sz w:val="20"/>
                <w:szCs w:val="20"/>
                <w:rFonts w:ascii="Calibri" w:cs="Calibri" w:eastAsia="Calibri" w:hAnsi="Calibri"/>
              </w:rPr>
              <w:t xml:space="preserve">30.0%</w:t>
            </w:r>
          </w:p>
        </w:tc>
      </w:tr>
      <w:tr>
        <w:tc>
          <w:p>
            <w:r>
              <w:rPr>
                <w:b w:val="false"/>
                <w:bCs w:val="false"/>
                <w:color w:val="1a1a1a"/>
                <w:sz w:val="20"/>
                <w:szCs w:val="20"/>
                <w:rFonts w:ascii="Calibri" w:cs="Calibri" w:eastAsia="Calibri" w:hAnsi="Calibri"/>
              </w:rPr>
              <w:t xml:space="preserve">Pre-formation creditor warrants (from founder)</w:t>
            </w:r>
          </w:p>
        </w:tc>
        <w:tc>
          <w:p>
            <w:r>
              <w:rPr>
                <w:b w:val="false"/>
                <w:bCs w:val="false"/>
                <w:color w:val="1a1a1a"/>
                <w:sz w:val="20"/>
                <w:szCs w:val="20"/>
                <w:rFonts w:ascii="Calibri" w:cs="Calibri" w:eastAsia="Calibri" w:hAnsi="Calibri"/>
              </w:rPr>
              <w:t xml:space="preserve">~1.7%</w:t>
            </w:r>
          </w:p>
        </w:tc>
      </w:tr>
      <w:tr>
        <w:tc>
          <w:p>
            <w:r>
              <w:rPr>
                <w:b w:val="false"/>
                <w:bCs w:val="false"/>
                <w:color w:val="1a1a1a"/>
                <w:sz w:val="20"/>
                <w:szCs w:val="20"/>
                <w:rFonts w:ascii="Calibri" w:cs="Calibri" w:eastAsia="Calibri" w:hAnsi="Calibri"/>
              </w:rPr>
              <w:t xml:space="preserve">New investors (this round)</w:t>
            </w:r>
          </w:p>
        </w:tc>
        <w:tc>
          <w:p>
            <w:r>
              <w:rPr>
                <w:b w:val="false"/>
                <w:bCs w:val="false"/>
                <w:color w:val="1a1a1a"/>
                <w:sz w:val="20"/>
                <w:szCs w:val="20"/>
                <w:rFonts w:ascii="Calibri" w:cs="Calibri" w:eastAsia="Calibri" w:hAnsi="Calibri"/>
              </w:rPr>
              <w:t xml:space="preserve">~4.3%</w:t>
            </w:r>
          </w:p>
        </w:tc>
      </w:tr>
    </w:tbl>
    <w:p>
      <w:pPr>
        <w:pStyle w:val="Heading2"/>
        <w:spacing w:before="320" w:after="140"/>
      </w:pPr>
      <w:r>
        <w:rPr>
          <w:b/>
          <w:bCs/>
          <w:color w:val="7c3aed"/>
          <w:sz w:val="26"/>
          <w:szCs w:val="26"/>
          <w:rFonts w:ascii="Calibri" w:cs="Calibri" w:eastAsia="Calibri" w:hAnsi="Calibri"/>
        </w:rPr>
        <w:t xml:space="preserve">6.2 Pre-formation creditor warrants — flagged for reconciliation</w:t>
      </w:r>
    </w:p>
    <w:p>
      <w:pPr>
        <w:spacing w:after="200" w:before="0"/>
      </w:pPr>
      <w:r>
        <w:rPr>
          <w:b w:val="false"/>
          <w:bCs w:val="false"/>
          <w:i w:val="false"/>
          <w:iCs w:val="false"/>
          <w:color w:val="1a1a1a"/>
          <w:sz w:val="22"/>
          <w:szCs w:val="22"/>
          <w:rFonts w:ascii="Calibri" w:cs="Calibri" w:eastAsia="Calibri" w:hAnsi="Calibri"/>
        </w:rPr>
        <w:t xml:space="preserve">Approximately $615,000 of documented exposure across roughly eight stakeholders from three prior ventures (HOM DAO, RealEx, TitleApp LLC), with ~$228,000 of known TitleApp LLC liabilities as a subset. Resolved via basis-point warrant grants absorbed entirely from the founder's allocation, not investor dilution.</w:t>
      </w:r>
    </w:p>
    <w:p>
      <w:pPr>
        <w:spacing w:after="200" w:before="0"/>
      </w:pPr>
      <w:r>
        <w:rPr>
          <w:b/>
          <w:bCs/>
          <w:i w:val="false"/>
          <w:iCs w:val="false"/>
          <w:color w:val="1a1a1a"/>
          <w:sz w:val="22"/>
          <w:szCs w:val="22"/>
          <w:rFonts w:ascii="Calibri" w:cs="Calibri" w:eastAsia="Calibri" w:hAnsi="Calibri"/>
        </w:rPr>
        <w:t xml:space="preserve">Open item, not resolved in this pass: </w:t>
      </w:r>
    </w:p>
    <w:p>
      <w:pPr>
        <w:spacing w:after="200" w:before="0"/>
      </w:pPr>
      <w:r>
        <w:rPr>
          <w:b w:val="false"/>
          <w:bCs w:val="false"/>
          <w:i w:val="false"/>
          <w:iCs w:val="false"/>
          <w:color w:val="1a1a1a"/>
          <w:sz w:val="22"/>
          <w:szCs w:val="22"/>
          <w:rFonts w:ascii="Calibri" w:cs="Calibri" w:eastAsia="Calibri" w:hAnsi="Calibri"/>
        </w:rPr>
        <w:t xml:space="preserve">a separate real balance sheet corrected this month shows total liabilities of approximately $140,915.49 — a materially different figure from the $615K/$228K creditor-exposure numbers above. These may be genuinely different categories (off-cap-table warrant commitments vs. on-books cash liabilities) or the same obligation described two ways. This needs founder-level reconciliation before this section is treated as final.</w:t>
      </w:r>
    </w:p>
    <w:p>
      <w:r>
        <w:br w:type="page"/>
      </w:r>
    </w:p>
    <w:p>
      <w:pPr>
        <w:pStyle w:val="Heading1"/>
        <w:spacing w:before="480" w:after="200"/>
      </w:pPr>
      <w:r>
        <w:rPr>
          <w:b/>
          <w:bCs/>
          <w:color w:val="7c3aed"/>
          <w:sz w:val="34"/>
          <w:szCs w:val="34"/>
          <w:rFonts w:ascii="Calibri" w:cs="Calibri" w:eastAsia="Calibri" w:hAnsi="Calibri"/>
        </w:rPr>
        <w:t xml:space="preserve">Part VII — Financials &amp; Capital Efficiency</w:t>
      </w:r>
    </w:p>
    <w:p>
      <w:pPr>
        <w:pStyle w:val="Heading2"/>
        <w:spacing w:before="320" w:after="140"/>
      </w:pPr>
      <w:r>
        <w:rPr>
          <w:b/>
          <w:bCs/>
          <w:color w:val="7c3aed"/>
          <w:sz w:val="26"/>
          <w:szCs w:val="26"/>
          <w:rFonts w:ascii="Calibri" w:cs="Calibri" w:eastAsia="Calibri" w:hAnsi="Calibri"/>
        </w:rPr>
        <w:t xml:space="preserve">7.1 Platform-build economics — corrected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Era</w:t>
            </w:r>
          </w:p>
        </w:tc>
        <w:tc>
          <w:tcPr>
            <w:shd w:color="EEE6FF" w:val="solid"/>
          </w:tcPr>
          <w:p>
            <w:r>
              <w:rPr>
                <w:b/>
                <w:bCs/>
                <w:color w:val="1a1a1a"/>
                <w:sz w:val="20"/>
                <w:szCs w:val="20"/>
                <w:rFonts w:ascii="Calibri" w:cs="Calibri" w:eastAsia="Calibri" w:hAnsi="Calibri"/>
              </w:rPr>
              <w:t xml:space="preserve">Platform-dev burn</w:t>
            </w:r>
          </w:p>
        </w:tc>
        <w:tc>
          <w:tcPr>
            <w:shd w:color="EEE6FF" w:val="solid"/>
          </w:tcPr>
          <w:p>
            <w:r>
              <w:rPr>
                <w:b/>
                <w:bCs/>
                <w:color w:val="1a1a1a"/>
                <w:sz w:val="20"/>
                <w:szCs w:val="20"/>
                <w:rFonts w:ascii="Calibri" w:cs="Calibri" w:eastAsia="Calibri" w:hAnsi="Calibri"/>
              </w:rPr>
              <w:t xml:space="preserve">Mechanism</w:t>
            </w:r>
          </w:p>
        </w:tc>
      </w:tr>
      <w:tr>
        <w:tc>
          <w:p>
            <w:r>
              <w:rPr>
                <w:b w:val="false"/>
                <w:bCs w:val="false"/>
                <w:color w:val="1a1a1a"/>
                <w:sz w:val="20"/>
                <w:szCs w:val="20"/>
                <w:rFonts w:ascii="Calibri" w:cs="Calibri" w:eastAsia="Calibri" w:hAnsi="Calibri"/>
              </w:rPr>
              <w:t xml:space="preserve">HOM DAO (2022–2024)</w:t>
            </w:r>
          </w:p>
        </w:tc>
        <w:tc>
          <w:p>
            <w:r>
              <w:rPr>
                <w:b w:val="false"/>
                <w:bCs w:val="false"/>
                <w:color w:val="1a1a1a"/>
                <w:sz w:val="20"/>
                <w:szCs w:val="20"/>
                <w:rFonts w:ascii="Calibri" w:cs="Calibri" w:eastAsia="Calibri" w:hAnsi="Calibri"/>
              </w:rPr>
              <w:t xml:space="preserve">~$35,000/week</w:t>
            </w:r>
          </w:p>
        </w:tc>
        <w:tc>
          <w:p>
            <w:r>
              <w:rPr>
                <w:b w:val="false"/>
                <w:bCs w:val="false"/>
                <w:color w:val="1a1a1a"/>
                <w:sz w:val="20"/>
                <w:szCs w:val="20"/>
                <w:rFonts w:ascii="Calibri" w:cs="Calibri" w:eastAsia="Calibri" w:hAnsi="Calibri"/>
              </w:rPr>
              <w:t xml:space="preserve">Dedicated ~25-engineer dev team building real-estate dApps the way that generation required.</w:t>
            </w:r>
          </w:p>
        </w:tc>
      </w:tr>
      <w:tr>
        <w:tc>
          <w:p>
            <w:r>
              <w:rPr>
                <w:b w:val="false"/>
                <w:bCs w:val="false"/>
                <w:color w:val="1a1a1a"/>
                <w:sz w:val="20"/>
                <w:szCs w:val="20"/>
                <w:rFonts w:ascii="Calibri" w:cs="Calibri" w:eastAsia="Calibri" w:hAnsi="Calibri"/>
              </w:rPr>
              <w:t xml:space="preserve">Founder bootstrap window / TitleApp LLC (2024–2026)</w:t>
            </w:r>
          </w:p>
        </w:tc>
        <w:tc>
          <w:p>
            <w:r>
              <w:rPr>
                <w:b w:val="false"/>
                <w:bCs w:val="false"/>
                <w:color w:val="1a1a1a"/>
                <w:sz w:val="20"/>
                <w:szCs w:val="20"/>
                <w:rFonts w:ascii="Calibri" w:cs="Calibri" w:eastAsia="Calibri" w:hAnsi="Calibri"/>
              </w:rPr>
              <w:t xml:space="preserve">~$35,615 over 3 years</w:t>
            </w:r>
          </w:p>
        </w:tc>
        <w:tc>
          <w:p>
            <w:r>
              <w:rPr>
                <w:b w:val="false"/>
                <w:bCs w:val="false"/>
                <w:color w:val="1a1a1a"/>
                <w:sz w:val="20"/>
                <w:szCs w:val="20"/>
                <w:rFonts w:ascii="Calibri" w:cs="Calibri" w:eastAsia="Calibri" w:hAnsi="Calibri"/>
              </w:rPr>
              <w:t xml:space="preserve">Productized title search inside a Delaware LLC. The worker platform that emerged became the real product.</w:t>
            </w:r>
          </w:p>
        </w:tc>
      </w:tr>
      <w:tr>
        <w:tc>
          <w:p>
            <w:r>
              <w:rPr>
                <w:b w:val="false"/>
                <w:bCs w:val="false"/>
                <w:color w:val="1a1a1a"/>
                <w:sz w:val="20"/>
                <w:szCs w:val="20"/>
                <w:rFonts w:ascii="Calibri" w:cs="Calibri" w:eastAsia="Calibri" w:hAnsi="Calibri"/>
              </w:rPr>
              <w:t xml:space="preserve">Current SOCIII platform-dev pace (Feb–Jul 2026)</w:t>
            </w:r>
          </w:p>
        </w:tc>
        <w:tc>
          <w:p>
            <w:r>
              <w:rPr>
                <w:b w:val="false"/>
                <w:bCs w:val="false"/>
                <w:color w:val="1a1a1a"/>
                <w:sz w:val="20"/>
                <w:szCs w:val="20"/>
                <w:rFonts w:ascii="Calibri" w:cs="Calibri" w:eastAsia="Calibri" w:hAnsi="Calibri"/>
              </w:rPr>
              <w:t xml:space="preserve">$13,436.56 total over 6 months (bank-verified)</w:t>
            </w:r>
          </w:p>
        </w:tc>
        <w:tc>
          <w:p>
            <w:r>
              <w:rPr>
                <w:b w:val="false"/>
                <w:bCs w:val="false"/>
                <w:color w:val="1a1a1a"/>
                <w:sz w:val="20"/>
                <w:szCs w:val="20"/>
                <w:rFonts w:ascii="Calibri" w:cs="Calibri" w:eastAsia="Calibri" w:hAnsi="Calibri"/>
              </w:rPr>
              <w:t xml:space="preserve">Humans plus digital workers. Lead developer: Anthropic Claude. All-inclusive figure — AI tokens, API costs, infrastructure, tooling.</w:t>
            </w:r>
          </w:p>
        </w:tc>
      </w:tr>
    </w:tbl>
    <w:p>
      <w:pPr>
        <w:spacing w:after="200" w:before="0"/>
      </w:pPr>
      <w:r>
        <w:rPr>
          <w:b/>
          <w:bCs/>
          <w:i w:val="false"/>
          <w:iCs w:val="false"/>
          <w:color w:val="1a1a1a"/>
          <w:sz w:val="22"/>
          <w:szCs w:val="22"/>
          <w:rFonts w:ascii="Calibri" w:cs="Calibri" w:eastAsia="Calibri" w:hAnsi="Calibri"/>
        </w:rPr>
        <w:t xml:space="preserve">What this table is saying.</w:t>
      </w:r>
    </w:p>
    <w:p>
      <w:pPr>
        <w:spacing w:after="200" w:before="0"/>
      </w:pPr>
      <w:r>
        <w:rPr>
          <w:b w:val="false"/>
          <w:bCs w:val="false"/>
          <w:i w:val="false"/>
          <w:iCs w:val="false"/>
          <w:color w:val="1a1a1a"/>
          <w:sz w:val="22"/>
          <w:szCs w:val="22"/>
          <w:rFonts w:ascii="Calibri" w:cs="Calibri" w:eastAsia="Calibri" w:hAnsi="Calibri"/>
        </w:rPr>
        <w:t xml:space="preserve">The founding team has demonstrated it can build and operate a real, 4-vertical production platform on a budget that would not fund a single senior engineer hire at most agent-platform competitors for even one month. The next dollar of capital extends this ratio rather than resetting it.</w:t>
      </w:r>
    </w:p>
    <w:p>
      <w:pPr>
        <w:pStyle w:val="Heading2"/>
        <w:spacing w:before="320" w:after="140"/>
      </w:pPr>
      <w:r>
        <w:rPr>
          <w:b/>
          <w:bCs/>
          <w:color w:val="7c3aed"/>
          <w:sz w:val="26"/>
          <w:szCs w:val="26"/>
          <w:rFonts w:ascii="Calibri" w:cs="Calibri" w:eastAsia="Calibri" w:hAnsi="Calibri"/>
        </w:rPr>
        <w:t xml:space="preserve">7.2 Revenue architecture — five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shd w:color="EEE6FF" w:val="solid"/>
          </w:tcPr>
          <w:p>
            <w:r>
              <w:rPr>
                <w:b/>
                <w:bCs/>
                <w:color w:val="1a1a1a"/>
                <w:sz w:val="20"/>
                <w:szCs w:val="20"/>
                <w:rFonts w:ascii="Calibri" w:cs="Calibri" w:eastAsia="Calibri" w:hAnsi="Calibri"/>
              </w:rPr>
              <w:t xml:space="preserve">Stream</w:t>
            </w:r>
          </w:p>
        </w:tc>
        <w:tc>
          <w:tcPr>
            <w:tcW w:type="pct" w:w="18%"/>
            <w:shd w:color="EEE6FF" w:val="solid"/>
          </w:tcPr>
          <w:p>
            <w:r>
              <w:rPr>
                <w:b/>
                <w:bCs/>
                <w:color w:val="1a1a1a"/>
                <w:sz w:val="20"/>
                <w:szCs w:val="20"/>
                <w:rFonts w:ascii="Calibri" w:cs="Calibri" w:eastAsia="Calibri" w:hAnsi="Calibri"/>
              </w:rPr>
              <w:t xml:space="preserve">Pricing</w:t>
            </w:r>
          </w:p>
        </w:tc>
        <w:tc>
          <w:tcPr>
            <w:tcW w:type="pct" w:w="16%"/>
            <w:shd w:color="EEE6FF" w:val="solid"/>
          </w:tcPr>
          <w:p>
            <w:r>
              <w:rPr>
                <w:b/>
                <w:bCs/>
                <w:color w:val="1a1a1a"/>
                <w:sz w:val="20"/>
                <w:szCs w:val="20"/>
                <w:rFonts w:ascii="Calibri" w:cs="Calibri" w:eastAsia="Calibri" w:hAnsi="Calibri"/>
              </w:rPr>
              <w:t xml:space="preserve">Gross margin</w:t>
            </w:r>
          </w:p>
        </w:tc>
        <w:tc>
          <w:tcPr>
            <w:tcW w:type="pct" w:w="16%"/>
            <w:shd w:color="EEE6FF" w:val="solid"/>
          </w:tcPr>
          <w:p>
            <w:r>
              <w:rPr>
                <w:b/>
                <w:bCs/>
                <w:color w:val="1a1a1a"/>
                <w:sz w:val="20"/>
                <w:szCs w:val="20"/>
                <w:rFonts w:ascii="Calibri" w:cs="Calibri" w:eastAsia="Calibri" w:hAnsi="Calibri"/>
              </w:rPr>
              <w:t xml:space="preserve">Creator share</w:t>
            </w:r>
          </w:p>
        </w:tc>
        <w:tc>
          <w:tcPr>
            <w:tcW w:type="pct" w:w="32%"/>
            <w:shd w:color="EEE6FF" w:val="solid"/>
          </w:tcPr>
          <w:p>
            <w:r>
              <w:rPr>
                <w:b/>
                <w:bCs/>
                <w:color w:val="1a1a1a"/>
                <w:sz w:val="20"/>
                <w:szCs w:val="20"/>
                <w:rFonts w:ascii="Calibri" w:cs="Calibri" w:eastAsia="Calibri" w:hAnsi="Calibri"/>
              </w:rPr>
              <w:t xml:space="preserve">Scales with</w:t>
            </w:r>
          </w:p>
        </w:tc>
      </w:tr>
      <w:tr>
        <w:tc>
          <w:tcPr>
            <w:tcW w:type="pct" w:w="18%"/>
          </w:tcPr>
          <w:p>
            <w:r>
              <w:rPr>
                <w:b w:val="false"/>
                <w:bCs w:val="false"/>
                <w:color w:val="1a1a1a"/>
                <w:sz w:val="20"/>
                <w:szCs w:val="20"/>
                <w:rFonts w:ascii="Calibri" w:cs="Calibri" w:eastAsia="Calibri" w:hAnsi="Calibri"/>
              </w:rPr>
              <w:t xml:space="preserve">Subscription</w:t>
            </w:r>
          </w:p>
        </w:tc>
        <w:tc>
          <w:tcPr>
            <w:tcW w:type="pct" w:w="18%"/>
          </w:tcPr>
          <w:p>
            <w:r>
              <w:rPr>
                <w:b w:val="false"/>
                <w:bCs w:val="false"/>
                <w:color w:val="1a1a1a"/>
                <w:sz w:val="20"/>
                <w:szCs w:val="20"/>
                <w:rFonts w:ascii="Calibri" w:cs="Calibri" w:eastAsia="Calibri" w:hAnsi="Calibri"/>
              </w:rPr>
              <w:t xml:space="preserve">$29–$99/mo</w:t>
            </w:r>
          </w:p>
        </w:tc>
        <w:tc>
          <w:tcPr>
            <w:tcW w:type="pct" w:w="16%"/>
          </w:tcPr>
          <w:p>
            <w:r>
              <w:rPr>
                <w:b w:val="false"/>
                <w:bCs w:val="false"/>
                <w:color w:val="1a1a1a"/>
                <w:sz w:val="20"/>
                <w:szCs w:val="20"/>
                <w:rFonts w:ascii="Calibri" w:cs="Calibri" w:eastAsia="Calibri" w:hAnsi="Calibri"/>
              </w:rPr>
              <w:t xml:space="preserve">~75%</w:t>
            </w:r>
          </w:p>
        </w:tc>
        <w:tc>
          <w:tcPr>
            <w:tcW w:type="pct" w:w="16%"/>
          </w:tcPr>
          <w:p>
            <w:r>
              <w:rPr>
                <w:b w:val="false"/>
                <w:bCs w:val="false"/>
                <w:color w:val="1a1a1a"/>
                <w:sz w:val="20"/>
                <w:szCs w:val="20"/>
                <w:rFonts w:ascii="Calibri" w:cs="Calibri" w:eastAsia="Calibri" w:hAnsi="Calibri"/>
              </w:rPr>
              <w:t xml:space="preserve">75%</w:t>
            </w:r>
          </w:p>
        </w:tc>
        <w:tc>
          <w:tcPr>
            <w:tcW w:type="pct" w:w="32%"/>
          </w:tcPr>
          <w:p>
            <w:r>
              <w:rPr>
                <w:b w:val="false"/>
                <w:bCs w:val="false"/>
                <w:color w:val="1a1a1a"/>
                <w:sz w:val="20"/>
                <w:szCs w:val="20"/>
                <w:rFonts w:ascii="Calibri" w:cs="Calibri" w:eastAsia="Calibri" w:hAnsi="Calibri"/>
              </w:rPr>
              <w:t xml:space="preserve">Creator + subscriber growth</w:t>
            </w:r>
          </w:p>
        </w:tc>
      </w:tr>
      <w:tr>
        <w:tc>
          <w:tcPr>
            <w:tcW w:type="pct" w:w="18%"/>
          </w:tcPr>
          <w:p>
            <w:r>
              <w:rPr>
                <w:b w:val="false"/>
                <w:bCs w:val="false"/>
                <w:color w:val="1a1a1a"/>
                <w:sz w:val="20"/>
                <w:szCs w:val="20"/>
                <w:rFonts w:ascii="Calibri" w:cs="Calibri" w:eastAsia="Calibri" w:hAnsi="Calibri"/>
              </w:rPr>
              <w:t xml:space="preserve">Data Credits</w:t>
            </w:r>
          </w:p>
        </w:tc>
        <w:tc>
          <w:tcPr>
            <w:tcW w:type="pct" w:w="18%"/>
          </w:tcPr>
          <w:p>
            <w:r>
              <w:rPr>
                <w:b w:val="false"/>
                <w:bCs w:val="false"/>
                <w:color w:val="1a1a1a"/>
                <w:sz w:val="20"/>
                <w:szCs w:val="20"/>
                <w:rFonts w:ascii="Calibri" w:cs="Calibri" w:eastAsia="Calibri" w:hAnsi="Calibri"/>
              </w:rPr>
              <w:t xml:space="preserve">$0.02/credit</w:t>
            </w:r>
          </w:p>
        </w:tc>
        <w:tc>
          <w:tcPr>
            <w:tcW w:type="pct" w:w="16%"/>
          </w:tcPr>
          <w:p>
            <w:r>
              <w:rPr>
                <w:b w:val="false"/>
                <w:bCs w:val="false"/>
                <w:color w:val="1a1a1a"/>
                <w:sz w:val="20"/>
                <w:szCs w:val="20"/>
                <w:rFonts w:ascii="Calibri" w:cs="Calibri" w:eastAsia="Calibri" w:hAnsi="Calibri"/>
              </w:rPr>
              <w:t xml:space="preserve">~90%</w:t>
            </w:r>
          </w:p>
        </w:tc>
        <w:tc>
          <w:tcPr>
            <w:tcW w:type="pct" w:w="16%"/>
          </w:tcPr>
          <w:p>
            <w:r>
              <w:rPr>
                <w:b w:val="false"/>
                <w:bCs w:val="false"/>
                <w:color w:val="1a1a1a"/>
                <w:sz w:val="20"/>
                <w:szCs w:val="20"/>
                <w:rFonts w:ascii="Calibri" w:cs="Calibri" w:eastAsia="Calibri" w:hAnsi="Calibri"/>
              </w:rPr>
              <w:t xml:space="preserve">0%</w:t>
            </w:r>
          </w:p>
        </w:tc>
        <w:tc>
          <w:tcPr>
            <w:tcW w:type="pct" w:w="32%"/>
          </w:tcPr>
          <w:p>
            <w:r>
              <w:rPr>
                <w:b w:val="false"/>
                <w:bCs w:val="false"/>
                <w:color w:val="1a1a1a"/>
                <w:sz w:val="20"/>
                <w:szCs w:val="20"/>
                <w:rFonts w:ascii="Calibri" w:cs="Calibri" w:eastAsia="Calibri" w:hAnsi="Calibri"/>
              </w:rPr>
              <w:t xml:space="preserve">Usage; Alex upsells bulk top-ups</w:t>
            </w:r>
          </w:p>
        </w:tc>
      </w:tr>
      <w:tr>
        <w:tc>
          <w:tcPr>
            <w:tcW w:type="pct" w:w="18%"/>
          </w:tcPr>
          <w:p>
            <w:r>
              <w:rPr>
                <w:b w:val="false"/>
                <w:bCs w:val="false"/>
                <w:color w:val="1a1a1a"/>
                <w:sz w:val="20"/>
                <w:szCs w:val="20"/>
                <w:rFonts w:ascii="Calibri" w:cs="Calibri" w:eastAsia="Calibri" w:hAnsi="Calibri"/>
              </w:rPr>
              <w:t xml:space="preserve">API Pass-Through</w:t>
            </w:r>
          </w:p>
        </w:tc>
        <w:tc>
          <w:tcPr>
            <w:tcW w:type="pct" w:w="18%"/>
          </w:tcPr>
          <w:p>
            <w:r>
              <w:rPr>
                <w:b w:val="false"/>
                <w:bCs w:val="false"/>
                <w:color w:val="1a1a1a"/>
                <w:sz w:val="20"/>
                <w:szCs w:val="20"/>
                <w:rFonts w:ascii="Calibri" w:cs="Calibri" w:eastAsia="Calibri" w:hAnsi="Calibri"/>
              </w:rPr>
              <w:t xml:space="preserve">2× cost floor</w:t>
            </w:r>
          </w:p>
        </w:tc>
        <w:tc>
          <w:tcPr>
            <w:tcW w:type="pct" w:w="16%"/>
          </w:tcPr>
          <w:p>
            <w:r>
              <w:rPr>
                <w:b w:val="false"/>
                <w:bCs w:val="false"/>
                <w:color w:val="1a1a1a"/>
                <w:sz w:val="20"/>
                <w:szCs w:val="20"/>
                <w:rFonts w:ascii="Calibri" w:cs="Calibri" w:eastAsia="Calibri" w:hAnsi="Calibri"/>
              </w:rPr>
              <w:t xml:space="preserve">50–85%</w:t>
            </w:r>
          </w:p>
        </w:tc>
        <w:tc>
          <w:tcPr>
            <w:tcW w:type="pct" w:w="16%"/>
          </w:tcPr>
          <w:p>
            <w:r>
              <w:rPr>
                <w:b w:val="false"/>
                <w:bCs w:val="false"/>
                <w:color w:val="1a1a1a"/>
                <w:sz w:val="20"/>
                <w:szCs w:val="20"/>
                <w:rFonts w:ascii="Calibri" w:cs="Calibri" w:eastAsia="Calibri" w:hAnsi="Calibri"/>
              </w:rPr>
              <w:t xml:space="preserve">75%</w:t>
            </w:r>
          </w:p>
        </w:tc>
        <w:tc>
          <w:tcPr>
            <w:tcW w:type="pct" w:w="32%"/>
          </w:tcPr>
          <w:p>
            <w:r>
              <w:rPr>
                <w:b w:val="false"/>
                <w:bCs w:val="false"/>
                <w:color w:val="1a1a1a"/>
                <w:sz w:val="20"/>
                <w:szCs w:val="20"/>
                <w:rFonts w:ascii="Calibri" w:cs="Calibri" w:eastAsia="Calibri" w:hAnsi="Calibri"/>
              </w:rPr>
              <w:t xml:space="preserve">Data richness per session</w:t>
            </w:r>
          </w:p>
        </w:tc>
      </w:tr>
      <w:tr>
        <w:tc>
          <w:tcPr>
            <w:tcW w:type="pct" w:w="18%"/>
          </w:tcPr>
          <w:p>
            <w:r>
              <w:rPr>
                <w:b w:val="false"/>
                <w:bCs w:val="false"/>
                <w:color w:val="1a1a1a"/>
                <w:sz w:val="20"/>
                <w:szCs w:val="20"/>
                <w:rFonts w:ascii="Calibri" w:cs="Calibri" w:eastAsia="Calibri" w:hAnsi="Calibri"/>
              </w:rPr>
              <w:t xml:space="preserve">Audit Trail</w:t>
            </w:r>
          </w:p>
        </w:tc>
        <w:tc>
          <w:tcPr>
            <w:tcW w:type="pct" w:w="18%"/>
          </w:tcPr>
          <w:p>
            <w:r>
              <w:rPr>
                <w:b w:val="false"/>
                <w:bCs w:val="false"/>
                <w:color w:val="1a1a1a"/>
                <w:sz w:val="20"/>
                <w:szCs w:val="20"/>
                <w:rFonts w:ascii="Calibri" w:cs="Calibri" w:eastAsia="Calibri" w:hAnsi="Calibri"/>
              </w:rPr>
              <w:t xml:space="preserve">$0.005/record</w:t>
            </w:r>
          </w:p>
        </w:tc>
        <w:tc>
          <w:tcPr>
            <w:tcW w:type="pct" w:w="16%"/>
          </w:tcPr>
          <w:p>
            <w:r>
              <w:rPr>
                <w:b w:val="false"/>
                <w:bCs w:val="false"/>
                <w:color w:val="1a1a1a"/>
                <w:sz w:val="20"/>
                <w:szCs w:val="20"/>
                <w:rFonts w:ascii="Calibri" w:cs="Calibri" w:eastAsia="Calibri" w:hAnsi="Calibri"/>
              </w:rPr>
              <w:t xml:space="preserve">~95%</w:t>
            </w:r>
          </w:p>
        </w:tc>
        <w:tc>
          <w:tcPr>
            <w:tcW w:type="pct" w:w="16%"/>
          </w:tcPr>
          <w:p>
            <w:r>
              <w:rPr>
                <w:b w:val="false"/>
                <w:bCs w:val="false"/>
                <w:color w:val="1a1a1a"/>
                <w:sz w:val="20"/>
                <w:szCs w:val="20"/>
                <w:rFonts w:ascii="Calibri" w:cs="Calibri" w:eastAsia="Calibri" w:hAnsi="Calibri"/>
              </w:rPr>
              <w:t xml:space="preserve">0%</w:t>
            </w:r>
          </w:p>
        </w:tc>
        <w:tc>
          <w:tcPr>
            <w:tcW w:type="pct" w:w="32%"/>
          </w:tcPr>
          <w:p>
            <w:r>
              <w:rPr>
                <w:b w:val="false"/>
                <w:bCs w:val="false"/>
                <w:color w:val="1a1a1a"/>
                <w:sz w:val="20"/>
                <w:szCs w:val="20"/>
                <w:rFonts w:ascii="Calibri" w:cs="Calibri" w:eastAsia="Calibri" w:hAnsi="Calibri"/>
              </w:rPr>
              <w:t xml:space="preserve">Regulated-vertical sessions</w:t>
            </w:r>
          </w:p>
        </w:tc>
      </w:tr>
      <w:tr>
        <w:tc>
          <w:tcPr>
            <w:tcW w:type="pct" w:w="18%"/>
          </w:tcPr>
          <w:p>
            <w:r>
              <w:rPr>
                <w:b w:val="false"/>
                <w:bCs w:val="false"/>
                <w:color w:val="1a1a1a"/>
                <w:sz w:val="20"/>
                <w:szCs w:val="20"/>
                <w:rFonts w:ascii="Calibri" w:cs="Calibri" w:eastAsia="Calibri" w:hAnsi="Calibri"/>
              </w:rPr>
              <w:t xml:space="preserve">Creator License</w:t>
            </w:r>
          </w:p>
        </w:tc>
        <w:tc>
          <w:tcPr>
            <w:tcW w:type="pct" w:w="18%"/>
          </w:tcPr>
          <w:p>
            <w:r>
              <w:rPr>
                <w:b w:val="false"/>
                <w:bCs w:val="false"/>
                <w:color w:val="1a1a1a"/>
                <w:sz w:val="20"/>
                <w:szCs w:val="20"/>
                <w:rFonts w:ascii="Calibri" w:cs="Calibri" w:eastAsia="Calibri" w:hAnsi="Calibri"/>
              </w:rPr>
              <w:t xml:space="preserve">$49/yr</w:t>
            </w:r>
          </w:p>
        </w:tc>
        <w:tc>
          <w:tcPr>
            <w:tcW w:type="pct" w:w="16%"/>
          </w:tcPr>
          <w:p>
            <w:r>
              <w:rPr>
                <w:b w:val="false"/>
                <w:bCs w:val="false"/>
                <w:color w:val="1a1a1a"/>
                <w:sz w:val="20"/>
                <w:szCs w:val="20"/>
                <w:rFonts w:ascii="Calibri" w:cs="Calibri" w:eastAsia="Calibri" w:hAnsi="Calibri"/>
              </w:rPr>
              <w:t xml:space="preserve">~100%</w:t>
            </w:r>
          </w:p>
        </w:tc>
        <w:tc>
          <w:tcPr>
            <w:tcW w:type="pct" w:w="16%"/>
          </w:tcPr>
          <w:p>
            <w:r>
              <w:rPr>
                <w:b w:val="false"/>
                <w:bCs w:val="false"/>
                <w:color w:val="1a1a1a"/>
                <w:sz w:val="20"/>
                <w:szCs w:val="20"/>
                <w:rFonts w:ascii="Calibri" w:cs="Calibri" w:eastAsia="Calibri" w:hAnsi="Calibri"/>
              </w:rPr>
              <w:t xml:space="preserve">0%</w:t>
            </w:r>
          </w:p>
        </w:tc>
        <w:tc>
          <w:tcPr>
            <w:tcW w:type="pct" w:w="32%"/>
          </w:tcPr>
          <w:p>
            <w:r>
              <w:rPr>
                <w:b w:val="false"/>
                <w:bCs w:val="false"/>
                <w:color w:val="1a1a1a"/>
                <w:sz w:val="20"/>
                <w:szCs w:val="20"/>
                <w:rFonts w:ascii="Calibri" w:cs="Calibri" w:eastAsia="Calibri" w:hAnsi="Calibri"/>
              </w:rPr>
              <w:t xml:space="preserve">Total creator population</w:t>
            </w:r>
          </w:p>
        </w:tc>
      </w:tr>
    </w:tbl>
    <w:p>
      <w:pPr>
        <w:pStyle w:val="Heading2"/>
        <w:spacing w:before="320" w:after="140"/>
      </w:pPr>
      <w:r>
        <w:rPr>
          <w:b/>
          <w:bCs/>
          <w:color w:val="7c3aed"/>
          <w:sz w:val="26"/>
          <w:szCs w:val="26"/>
          <w:rFonts w:ascii="Calibri" w:cs="Calibri" w:eastAsia="Calibri" w:hAnsi="Calibri"/>
        </w:rPr>
        <w:t xml:space="preserve">7.3 Sources &amp; Uses — reconciled to the raise band</w:t>
      </w:r>
    </w:p>
    <w:p>
      <w:pPr>
        <w:spacing w:after="200" w:before="0"/>
      </w:pPr>
      <w:r>
        <w:rPr>
          <w:b w:val="false"/>
          <w:bCs w:val="false"/>
          <w:i w:val="false"/>
          <w:iCs w:val="false"/>
          <w:color w:val="1a1a1a"/>
          <w:sz w:val="22"/>
          <w:szCs w:val="22"/>
          <w:rFonts w:ascii="Calibri" w:cs="Calibri" w:eastAsia="Calibri" w:hAnsi="Calibri"/>
        </w:rPr>
        <w:t xml:space="preserve">Debt service uses the real, bank-verified figure of $140,017.88 (all four outstanding notes) — a correction from an earlier $250K estimate.</w:t>
      </w:r>
    </w:p>
    <w:p>
      <w:pPr>
        <w:spacing w:before="240" w:after="100"/>
      </w:pPr>
      <w:r>
        <w:rPr>
          <w:b/>
          <w:bCs/>
          <w:color w:val="1a1a1a"/>
          <w:sz w:val="23"/>
          <w:szCs w:val="23"/>
          <w:rFonts w:ascii="Calibri" w:cs="Calibri" w:eastAsia="Calibri" w:hAnsi="Calibri"/>
        </w:rPr>
        <w:t xml:space="preserve">Base case: $2M raise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Allocation</w:t>
            </w:r>
          </w:p>
        </w:tc>
        <w:tc>
          <w:tcPr>
            <w:shd w:color="EEE6FF" w:val="solid"/>
          </w:tcPr>
          <w:p>
            <w:r>
              <w:rPr>
                <w:b/>
                <w:bCs/>
                <w:color w:val="1a1a1a"/>
                <w:sz w:val="20"/>
                <w:szCs w:val="20"/>
                <w:rFonts w:ascii="Calibri" w:cs="Calibri" w:eastAsia="Calibri" w:hAnsi="Calibri"/>
              </w:rPr>
              <w:t xml:space="preserve">Amount</w:t>
            </w:r>
          </w:p>
        </w:tc>
        <w:tc>
          <w:tcPr>
            <w:shd w:color="EEE6FF" w:val="solid"/>
          </w:tcPr>
          <w:p>
            <w:r>
              <w:rPr>
                <w:b/>
                <w:bCs/>
                <w:color w:val="1a1a1a"/>
                <w:sz w:val="20"/>
                <w:szCs w:val="20"/>
                <w:rFonts w:ascii="Calibri" w:cs="Calibri" w:eastAsia="Calibri" w:hAnsi="Calibri"/>
              </w:rPr>
              <w:t xml:space="preserve">What it funds</w:t>
            </w:r>
          </w:p>
        </w:tc>
      </w:tr>
      <w:tr>
        <w:tc>
          <w:p>
            <w:r>
              <w:rPr>
                <w:b w:val="false"/>
                <w:bCs w:val="false"/>
                <w:color w:val="1a1a1a"/>
                <w:sz w:val="20"/>
                <w:szCs w:val="20"/>
                <w:rFonts w:ascii="Calibri" w:cs="Calibri" w:eastAsia="Calibri" w:hAnsi="Calibri"/>
              </w:rPr>
              <w:t xml:space="preserve">Debt service</w:t>
            </w:r>
          </w:p>
        </w:tc>
        <w:tc>
          <w:p>
            <w:r>
              <w:rPr>
                <w:b w:val="false"/>
                <w:bCs w:val="false"/>
                <w:color w:val="1a1a1a"/>
                <w:sz w:val="20"/>
                <w:szCs w:val="20"/>
                <w:rFonts w:ascii="Calibri" w:cs="Calibri" w:eastAsia="Calibri" w:hAnsi="Calibri"/>
              </w:rPr>
              <w:t xml:space="preserve">$140,017.88</w:t>
            </w:r>
          </w:p>
        </w:tc>
        <w:tc>
          <w:p>
            <w:r>
              <w:rPr>
                <w:b w:val="false"/>
                <w:bCs w:val="false"/>
                <w:color w:val="1a1a1a"/>
                <w:sz w:val="20"/>
                <w:szCs w:val="20"/>
                <w:rFonts w:ascii="Calibri" w:cs="Calibri" w:eastAsia="Calibri" w:hAnsi="Calibri"/>
              </w:rPr>
              <w:t xml:space="preserve">Honors all four outstanding notes, bank-verified. Clears the balance sheet before scaling into regulated compliance work.</w:t>
            </w:r>
          </w:p>
        </w:tc>
      </w:tr>
      <w:tr>
        <w:tc>
          <w:p>
            <w:r>
              <w:rPr>
                <w:b w:val="false"/>
                <w:bCs w:val="false"/>
                <w:color w:val="1a1a1a"/>
                <w:sz w:val="20"/>
                <w:szCs w:val="20"/>
                <w:rFonts w:ascii="Calibri" w:cs="Calibri" w:eastAsia="Calibri" w:hAnsi="Calibri"/>
              </w:rPr>
              <w:t xml:space="preserve">Trade conferences &amp; industry presence</w:t>
            </w:r>
          </w:p>
        </w:tc>
        <w:tc>
          <w:p>
            <w:r>
              <w:rPr>
                <w:b w:val="false"/>
                <w:bCs w:val="false"/>
                <w:color w:val="1a1a1a"/>
                <w:sz w:val="20"/>
                <w:szCs w:val="20"/>
                <w:rFonts w:ascii="Calibri" w:cs="Calibri" w:eastAsia="Calibri" w:hAnsi="Calibri"/>
              </w:rPr>
              <w:t xml:space="preserve">$500,000</w:t>
            </w:r>
          </w:p>
        </w:tc>
        <w:tc>
          <w:p>
            <w:r>
              <w:rPr>
                <w:b w:val="false"/>
                <w:bCs w:val="false"/>
                <w:color w:val="1a1a1a"/>
                <w:sz w:val="20"/>
                <w:szCs w:val="20"/>
                <w:rFonts w:ascii="Calibri" w:cs="Calibri" w:eastAsia="Calibri" w:hAnsi="Calibri"/>
              </w:rPr>
              <w:t xml:space="preserve">Ruthie at NurseCon, pilots at NBAA, dealers at NADA. Domain experts, not salespeople, in the room.</w:t>
            </w:r>
          </w:p>
        </w:tc>
      </w:tr>
      <w:tr>
        <w:tc>
          <w:p>
            <w:r>
              <w:rPr>
                <w:b w:val="false"/>
                <w:bCs w:val="false"/>
                <w:color w:val="1a1a1a"/>
                <w:sz w:val="20"/>
                <w:szCs w:val="20"/>
                <w:rFonts w:ascii="Calibri" w:cs="Calibri" w:eastAsia="Calibri" w:hAnsi="Calibri"/>
              </w:rPr>
              <w:t xml:space="preserve">Professional network activation</w:t>
            </w:r>
          </w:p>
        </w:tc>
        <w:tc>
          <w:p>
            <w:r>
              <w:rPr>
                <w:b w:val="false"/>
                <w:bCs w:val="false"/>
                <w:color w:val="1a1a1a"/>
                <w:sz w:val="20"/>
                <w:szCs w:val="20"/>
                <w:rFonts w:ascii="Calibri" w:cs="Calibri" w:eastAsia="Calibri" w:hAnsi="Calibri"/>
              </w:rPr>
              <w:t xml:space="preserve">$500,000</w:t>
            </w:r>
          </w:p>
        </w:tc>
        <w:tc>
          <w:p>
            <w:r>
              <w:rPr>
                <w:b w:val="false"/>
                <w:bCs w:val="false"/>
                <w:color w:val="1a1a1a"/>
                <w:sz w:val="20"/>
                <w:szCs w:val="20"/>
                <w:rFonts w:ascii="Calibri" w:cs="Calibri" w:eastAsia="Calibri" w:hAnsi="Calibri"/>
              </w:rPr>
              <w:t xml:space="preserve">Identify and activate 200+ domain experts across live verticals.</w:t>
            </w:r>
          </w:p>
        </w:tc>
      </w:tr>
      <w:tr>
        <w:tc>
          <w:p>
            <w:r>
              <w:rPr>
                <w:b w:val="false"/>
                <w:bCs w:val="false"/>
                <w:color w:val="1a1a1a"/>
                <w:sz w:val="20"/>
                <w:szCs w:val="20"/>
                <w:rFonts w:ascii="Calibri" w:cs="Calibri" w:eastAsia="Calibri" w:hAnsi="Calibri"/>
              </w:rPr>
              <w:t xml:space="preserve">18-month+ runway &amp; operations</w:t>
            </w:r>
          </w:p>
        </w:tc>
        <w:tc>
          <w:p>
            <w:r>
              <w:rPr>
                <w:b w:val="false"/>
                <w:bCs w:val="false"/>
                <w:color w:val="1a1a1a"/>
                <w:sz w:val="20"/>
                <w:szCs w:val="20"/>
                <w:rFonts w:ascii="Calibri" w:cs="Calibri" w:eastAsia="Calibri" w:hAnsi="Calibri"/>
              </w:rPr>
              <w:t xml:space="preserve">$859,982.12</w:t>
            </w:r>
          </w:p>
        </w:tc>
        <w:tc>
          <w:p>
            <w:r>
              <w:rPr>
                <w:b w:val="false"/>
                <w:bCs w:val="false"/>
                <w:color w:val="1a1a1a"/>
                <w:sz w:val="20"/>
                <w:szCs w:val="20"/>
                <w:rFonts w:ascii="Calibri" w:cs="Calibri" w:eastAsia="Calibri" w:hAnsi="Calibri"/>
              </w:rPr>
              <w:t xml:space="preserve">At $25K/mo fixed overhead, this funds approximately 34 months (~2.9 years) of runway — "a few years," per plan.</w:t>
            </w:r>
          </w:p>
        </w:tc>
      </w:tr>
      <w:tr>
        <w:tc>
          <w:p>
            <w:r>
              <w:rPr>
                <w:b w:val="false"/>
                <w:bCs w:val="false"/>
                <w:color w:val="1a1a1a"/>
                <w:sz w:val="20"/>
                <w:szCs w:val="20"/>
                <w:rFonts w:ascii="Calibri" w:cs="Calibri" w:eastAsia="Calibri" w:hAnsi="Calibri"/>
              </w:rPr>
              <w:t xml:space="preserve">Total</w:t>
            </w:r>
          </w:p>
        </w:tc>
        <w:tc>
          <w:p>
            <w:r>
              <w:rPr>
                <w:b w:val="false"/>
                <w:bCs w:val="false"/>
                <w:color w:val="1a1a1a"/>
                <w:sz w:val="20"/>
                <w:szCs w:val="20"/>
                <w:rFonts w:ascii="Calibri" w:cs="Calibri" w:eastAsia="Calibri" w:hAnsi="Calibri"/>
              </w:rPr>
              <w:t xml:space="preserve">$2,000,000</w:t>
            </w:r>
          </w:p>
        </w:tc>
        <w:tc>
          <w:p>
            <w:r>
              <w:rPr>
                <w:b w:val="false"/>
                <w:bCs w:val="false"/>
                <w:color w:val="1a1a1a"/>
                <w:sz w:val="20"/>
                <w:szCs w:val="20"/>
                <w:rFonts w:ascii="Calibri" w:cs="Calibri" w:eastAsia="Calibri" w:hAnsi="Calibri"/>
              </w:rPr>
              <w:t xml:space="preserve">Reaches the Series A trigger in the Base growth scenario (Part VII.4) with real operating cash to spare.</w:t>
            </w:r>
          </w:p>
        </w:tc>
      </w:tr>
    </w:tbl>
    <w:p>
      <w:pPr>
        <w:spacing w:before="240" w:after="100"/>
      </w:pPr>
      <w:r>
        <w:rPr>
          <w:b/>
          <w:bCs/>
          <w:color w:val="1a1a1a"/>
          <w:sz w:val="23"/>
          <w:szCs w:val="23"/>
          <w:rFonts w:ascii="Calibri" w:cs="Calibri" w:eastAsia="Calibri" w:hAnsi="Calibri"/>
        </w:rPr>
        <w:t xml:space="preserve">Worst case: $500K minimum viable close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Allocation</w:t>
            </w:r>
          </w:p>
        </w:tc>
        <w:tc>
          <w:tcPr>
            <w:shd w:color="EEE6FF" w:val="solid"/>
          </w:tcPr>
          <w:p>
            <w:r>
              <w:rPr>
                <w:b/>
                <w:bCs/>
                <w:color w:val="1a1a1a"/>
                <w:sz w:val="20"/>
                <w:szCs w:val="20"/>
                <w:rFonts w:ascii="Calibri" w:cs="Calibri" w:eastAsia="Calibri" w:hAnsi="Calibri"/>
              </w:rPr>
              <w:t xml:space="preserve">Amount</w:t>
            </w:r>
          </w:p>
        </w:tc>
        <w:tc>
          <w:tcPr>
            <w:shd w:color="EEE6FF" w:val="solid"/>
          </w:tcPr>
          <w:p>
            <w:r>
              <w:rPr>
                <w:b/>
                <w:bCs/>
                <w:color w:val="1a1a1a"/>
                <w:sz w:val="20"/>
                <w:szCs w:val="20"/>
                <w:rFonts w:ascii="Calibri" w:cs="Calibri" w:eastAsia="Calibri" w:hAnsi="Calibri"/>
              </w:rPr>
              <w:t xml:space="preserve">What it funds</w:t>
            </w:r>
          </w:p>
        </w:tc>
      </w:tr>
      <w:tr>
        <w:tc>
          <w:p>
            <w:r>
              <w:rPr>
                <w:b w:val="false"/>
                <w:bCs w:val="false"/>
                <w:color w:val="1a1a1a"/>
                <w:sz w:val="20"/>
                <w:szCs w:val="20"/>
                <w:rFonts w:ascii="Calibri" w:cs="Calibri" w:eastAsia="Calibri" w:hAnsi="Calibri"/>
              </w:rPr>
              <w:t xml:space="preserve">Debt service</w:t>
            </w:r>
          </w:p>
        </w:tc>
        <w:tc>
          <w:p>
            <w:r>
              <w:rPr>
                <w:b w:val="false"/>
                <w:bCs w:val="false"/>
                <w:color w:val="1a1a1a"/>
                <w:sz w:val="20"/>
                <w:szCs w:val="20"/>
                <w:rFonts w:ascii="Calibri" w:cs="Calibri" w:eastAsia="Calibri" w:hAnsi="Calibri"/>
              </w:rPr>
              <w:t xml:space="preserve">$140,017.88</w:t>
            </w:r>
          </w:p>
        </w:tc>
        <w:tc>
          <w:p>
            <w:r>
              <w:rPr>
                <w:b w:val="false"/>
                <w:bCs w:val="false"/>
                <w:color w:val="1a1a1a"/>
                <w:sz w:val="20"/>
                <w:szCs w:val="20"/>
                <w:rFonts w:ascii="Calibri" w:cs="Calibri" w:eastAsia="Calibri" w:hAnsi="Calibri"/>
              </w:rPr>
              <w:t xml:space="preserve">Same real, bank-verified obligation — paid first regardless of raise size.</w:t>
            </w:r>
          </w:p>
        </w:tc>
      </w:tr>
      <w:tr>
        <w:tc>
          <w:p>
            <w:r>
              <w:rPr>
                <w:b w:val="false"/>
                <w:bCs w:val="false"/>
                <w:color w:val="1a1a1a"/>
                <w:sz w:val="20"/>
                <w:szCs w:val="20"/>
                <w:rFonts w:ascii="Calibri" w:cs="Calibri" w:eastAsia="Calibri" w:hAnsi="Calibri"/>
              </w:rPr>
              <w:t xml:space="preserve">Runway &amp; operations</w:t>
            </w:r>
          </w:p>
        </w:tc>
        <w:tc>
          <w:p>
            <w:r>
              <w:rPr>
                <w:b w:val="false"/>
                <w:bCs w:val="false"/>
                <w:color w:val="1a1a1a"/>
                <w:sz w:val="20"/>
                <w:szCs w:val="20"/>
                <w:rFonts w:ascii="Calibri" w:cs="Calibri" w:eastAsia="Calibri" w:hAnsi="Calibri"/>
              </w:rPr>
              <w:t xml:space="preserve">$359,982.12</w:t>
            </w:r>
          </w:p>
        </w:tc>
        <w:tc>
          <w:p>
            <w:r>
              <w:rPr>
                <w:b w:val="false"/>
                <w:bCs w:val="false"/>
                <w:color w:val="1a1a1a"/>
                <w:sz w:val="20"/>
                <w:szCs w:val="20"/>
                <w:rFonts w:ascii="Calibri" w:cs="Calibri" w:eastAsia="Calibri" w:hAnsi="Calibri"/>
              </w:rPr>
              <w:t xml:space="preserve">At $25K/mo fixed overhead, this funds approximately 14.4 months (~1.2 years) of runway. No conference/network-activation spend at this raise size — survival and debt clearance only.</w:t>
            </w:r>
          </w:p>
        </w:tc>
      </w:tr>
      <w:tr>
        <w:tc>
          <w:p>
            <w:r>
              <w:rPr>
                <w:b w:val="false"/>
                <w:bCs w:val="false"/>
                <w:color w:val="1a1a1a"/>
                <w:sz w:val="20"/>
                <w:szCs w:val="20"/>
                <w:rFonts w:ascii="Calibri" w:cs="Calibri" w:eastAsia="Calibri" w:hAnsi="Calibri"/>
              </w:rPr>
              <w:t xml:space="preserve">Total</w:t>
            </w:r>
          </w:p>
        </w:tc>
        <w:tc>
          <w:p>
            <w:r>
              <w:rPr>
                <w:b w:val="false"/>
                <w:bCs w:val="false"/>
                <w:color w:val="1a1a1a"/>
                <w:sz w:val="20"/>
                <w:szCs w:val="20"/>
                <w:rFonts w:ascii="Calibri" w:cs="Calibri" w:eastAsia="Calibri" w:hAnsi="Calibri"/>
              </w:rPr>
              <w:t xml:space="preserve">$500,000</w:t>
            </w:r>
          </w:p>
        </w:tc>
        <w:tc>
          <w:p>
            <w:r>
              <w:rPr>
                <w:b w:val="false"/>
                <w:bCs w:val="false"/>
                <w:color w:val="1a1a1a"/>
                <w:sz w:val="20"/>
                <w:szCs w:val="20"/>
                <w:rFonts w:ascii="Calibri" w:cs="Calibri" w:eastAsia="Calibri" w:hAnsi="Calibri"/>
              </w:rPr>
              <w:t xml:space="preserve">Extends runway 1–2 years, per plan. Conference and network-activation spend resume once a larger close is reached.</w:t>
            </w:r>
          </w:p>
        </w:tc>
      </w:tr>
    </w:tbl>
    <w:p>
      <w:pPr>
        <w:pStyle w:val="Heading2"/>
        <w:spacing w:before="320" w:after="140"/>
      </w:pPr>
      <w:r>
        <w:rPr>
          <w:b/>
          <w:bCs/>
          <w:color w:val="7c3aed"/>
          <w:sz w:val="26"/>
          <w:szCs w:val="26"/>
          <w:rFonts w:ascii="Calibri" w:cs="Calibri" w:eastAsia="Calibri" w:hAnsi="Calibri"/>
        </w:rPr>
        <w:t xml:space="preserve">7.4 Scenario analysis — three growth paths (unchanged methodology)</w:t>
      </w:r>
    </w:p>
    <w:p>
      <w:pPr>
        <w:spacing w:after="200" w:before="0"/>
      </w:pPr>
      <w:r>
        <w:rPr>
          <w:b w:val="false"/>
          <w:bCs w:val="false"/>
          <w:i w:val="false"/>
          <w:iCs w:val="false"/>
          <w:color w:val="1a1a1a"/>
          <w:sz w:val="22"/>
          <w:szCs w:val="22"/>
          <w:rFonts w:ascii="Calibri" w:cs="Calibri" w:eastAsia="Calibri" w:hAnsi="Calibri"/>
        </w:rPr>
        <w:t xml:space="preserve">The mass-adoption curve for vertical AI agent platforms is genuinely unknowable at this stage. All scenarios use a $99/mo blended base subscription and $25K/mo fixed overhead. Scenarios differ only on monthly growth rate and churn — this methodology is unchanged from the prior draft, per direction; only the Sources &amp; Uses framing above was reconciled to the real raise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EEE6FF" w:val="solid"/>
          </w:tcPr>
          <w:p>
            <w:r>
              <w:rPr>
                <w:b/>
                <w:bCs/>
                <w:color w:val="1a1a1a"/>
                <w:sz w:val="20"/>
                <w:szCs w:val="20"/>
                <w:rFonts w:ascii="Calibri" w:cs="Calibri" w:eastAsia="Calibri" w:hAnsi="Calibri"/>
              </w:rPr>
              <w:t xml:space="preserve">Assumption</w:t>
            </w:r>
          </w:p>
        </w:tc>
        <w:tc>
          <w:tcPr>
            <w:shd w:color="EEE6FF" w:val="solid"/>
          </w:tcPr>
          <w:p>
            <w:r>
              <w:rPr>
                <w:b/>
                <w:bCs/>
                <w:color w:val="1a1a1a"/>
                <w:sz w:val="20"/>
                <w:szCs w:val="20"/>
                <w:rFonts w:ascii="Calibri" w:cs="Calibri" w:eastAsia="Calibri" w:hAnsi="Calibri"/>
              </w:rPr>
              <w:t xml:space="preserve">Worst</w:t>
            </w:r>
          </w:p>
        </w:tc>
        <w:tc>
          <w:tcPr>
            <w:shd w:color="EEE6FF" w:val="solid"/>
          </w:tcPr>
          <w:p>
            <w:r>
              <w:rPr>
                <w:b/>
                <w:bCs/>
                <w:color w:val="1a1a1a"/>
                <w:sz w:val="20"/>
                <w:szCs w:val="20"/>
                <w:rFonts w:ascii="Calibri" w:cs="Calibri" w:eastAsia="Calibri" w:hAnsi="Calibri"/>
              </w:rPr>
              <w:t xml:space="preserve">Base</w:t>
            </w:r>
          </w:p>
        </w:tc>
        <w:tc>
          <w:tcPr>
            <w:shd w:color="EEE6FF" w:val="solid"/>
          </w:tcPr>
          <w:p>
            <w:r>
              <w:rPr>
                <w:b/>
                <w:bCs/>
                <w:color w:val="1a1a1a"/>
                <w:sz w:val="20"/>
                <w:szCs w:val="20"/>
                <w:rFonts w:ascii="Calibri" w:cs="Calibri" w:eastAsia="Calibri" w:hAnsi="Calibri"/>
              </w:rPr>
              <w:t xml:space="preserve">Best</w:t>
            </w:r>
          </w:p>
        </w:tc>
      </w:tr>
      <w:tr>
        <w:tc>
          <w:p>
            <w:r>
              <w:rPr>
                <w:b w:val="false"/>
                <w:bCs w:val="false"/>
                <w:color w:val="1a1a1a"/>
                <w:sz w:val="20"/>
                <w:szCs w:val="20"/>
                <w:rFonts w:ascii="Calibri" w:cs="Calibri" w:eastAsia="Calibri" w:hAnsi="Calibri"/>
              </w:rPr>
              <w:t xml:space="preserve">Monthly growth rate (new subscribers)</w:t>
            </w:r>
          </w:p>
        </w:tc>
        <w:tc>
          <w:p>
            <w:r>
              <w:rPr>
                <w:b w:val="false"/>
                <w:bCs w:val="false"/>
                <w:color w:val="1a1a1a"/>
                <w:sz w:val="20"/>
                <w:szCs w:val="20"/>
                <w:rFonts w:ascii="Calibri" w:cs="Calibri" w:eastAsia="Calibri" w:hAnsi="Calibri"/>
              </w:rPr>
              <w:t xml:space="preserve">5%</w:t>
            </w:r>
          </w:p>
        </w:tc>
        <w:tc>
          <w:p>
            <w:r>
              <w:rPr>
                <w:b w:val="false"/>
                <w:bCs w:val="false"/>
                <w:color w:val="1a1a1a"/>
                <w:sz w:val="20"/>
                <w:szCs w:val="20"/>
                <w:rFonts w:ascii="Calibri" w:cs="Calibri" w:eastAsia="Calibri" w:hAnsi="Calibri"/>
              </w:rPr>
              <w:t xml:space="preserve">10%</w:t>
            </w:r>
          </w:p>
        </w:tc>
        <w:tc>
          <w:p>
            <w:r>
              <w:rPr>
                <w:b w:val="false"/>
                <w:bCs w:val="false"/>
                <w:color w:val="1a1a1a"/>
                <w:sz w:val="20"/>
                <w:szCs w:val="20"/>
                <w:rFonts w:ascii="Calibri" w:cs="Calibri" w:eastAsia="Calibri" w:hAnsi="Calibri"/>
              </w:rPr>
              <w:t xml:space="preserve">20%</w:t>
            </w:r>
          </w:p>
        </w:tc>
      </w:tr>
      <w:tr>
        <w:tc>
          <w:p>
            <w:r>
              <w:rPr>
                <w:b w:val="false"/>
                <w:bCs w:val="false"/>
                <w:color w:val="1a1a1a"/>
                <w:sz w:val="20"/>
                <w:szCs w:val="20"/>
                <w:rFonts w:ascii="Calibri" w:cs="Calibri" w:eastAsia="Calibri" w:hAnsi="Calibri"/>
              </w:rPr>
              <w:t xml:space="preserve">Monthly churn rate</w:t>
            </w:r>
          </w:p>
        </w:tc>
        <w:tc>
          <w:p>
            <w:r>
              <w:rPr>
                <w:b w:val="false"/>
                <w:bCs w:val="false"/>
                <w:color w:val="1a1a1a"/>
                <w:sz w:val="20"/>
                <w:szCs w:val="20"/>
                <w:rFonts w:ascii="Calibri" w:cs="Calibri" w:eastAsia="Calibri" w:hAnsi="Calibri"/>
              </w:rPr>
              <w:t xml:space="preserve">5%</w:t>
            </w:r>
          </w:p>
        </w:tc>
        <w:tc>
          <w:p>
            <w:r>
              <w:rPr>
                <w:b w:val="false"/>
                <w:bCs w:val="false"/>
                <w:color w:val="1a1a1a"/>
                <w:sz w:val="20"/>
                <w:szCs w:val="20"/>
                <w:rFonts w:ascii="Calibri" w:cs="Calibri" w:eastAsia="Calibri" w:hAnsi="Calibri"/>
              </w:rPr>
              <w:t xml:space="preserve">2%</w:t>
            </w:r>
          </w:p>
        </w:tc>
        <w:tc>
          <w:p>
            <w:r>
              <w:rPr>
                <w:b w:val="false"/>
                <w:bCs w:val="false"/>
                <w:color w:val="1a1a1a"/>
                <w:sz w:val="20"/>
                <w:szCs w:val="20"/>
                <w:rFonts w:ascii="Calibri" w:cs="Calibri" w:eastAsia="Calibri" w:hAnsi="Calibri"/>
              </w:rPr>
              <w:t xml:space="preserve">0.5%</w:t>
            </w:r>
          </w:p>
        </w:tc>
      </w:tr>
      <w:tr>
        <w:tc>
          <w:p>
            <w:r>
              <w:rPr>
                <w:b w:val="false"/>
                <w:bCs w:val="false"/>
                <w:color w:val="1a1a1a"/>
                <w:sz w:val="20"/>
                <w:szCs w:val="20"/>
                <w:rFonts w:ascii="Calibri" w:cs="Calibri" w:eastAsia="Calibri" w:hAnsi="Calibri"/>
              </w:rPr>
              <w:t xml:space="preserve">Month 1 new subscribers</w:t>
            </w:r>
          </w:p>
        </w:tc>
        <w:tc>
          <w:p>
            <w:r>
              <w:rPr>
                <w:b w:val="false"/>
                <w:bCs w:val="false"/>
                <w:color w:val="1a1a1a"/>
                <w:sz w:val="20"/>
                <w:szCs w:val="20"/>
                <w:rFonts w:ascii="Calibri" w:cs="Calibri" w:eastAsia="Calibri" w:hAnsi="Calibri"/>
              </w:rPr>
              <w:t xml:space="preserve">3</w:t>
            </w:r>
          </w:p>
        </w:tc>
        <w:tc>
          <w:p>
            <w:r>
              <w:rPr>
                <w:b w:val="false"/>
                <w:bCs w:val="false"/>
                <w:color w:val="1a1a1a"/>
                <w:sz w:val="20"/>
                <w:szCs w:val="20"/>
                <w:rFonts w:ascii="Calibri" w:cs="Calibri" w:eastAsia="Calibri" w:hAnsi="Calibri"/>
              </w:rPr>
              <w:t xml:space="preserve">10</w:t>
            </w:r>
          </w:p>
        </w:tc>
        <w:tc>
          <w:p>
            <w:r>
              <w:rPr>
                <w:b w:val="false"/>
                <w:bCs w:val="false"/>
                <w:color w:val="1a1a1a"/>
                <w:sz w:val="20"/>
                <w:szCs w:val="20"/>
                <w:rFonts w:ascii="Calibri" w:cs="Calibri" w:eastAsia="Calibri" w:hAnsi="Calibri"/>
              </w:rPr>
              <w:t xml:space="preserve">25</w:t>
            </w:r>
          </w:p>
        </w:tc>
      </w:tr>
      <w:tr>
        <w:tc>
          <w:p>
            <w:r>
              <w:rPr>
                <w:b w:val="false"/>
                <w:bCs w:val="false"/>
                <w:color w:val="1a1a1a"/>
                <w:sz w:val="20"/>
                <w:szCs w:val="20"/>
                <w:rFonts w:ascii="Calibri" w:cs="Calibri" w:eastAsia="Calibri" w:hAnsi="Calibri"/>
              </w:rPr>
              <w:t xml:space="preserve">Months to first 100 subscribers</w:t>
            </w:r>
          </w:p>
        </w:tc>
        <w:tc>
          <w:p>
            <w:r>
              <w:rPr>
                <w:b w:val="false"/>
                <w:bCs w:val="false"/>
                <w:color w:val="1a1a1a"/>
                <w:sz w:val="20"/>
                <w:szCs w:val="20"/>
                <w:rFonts w:ascii="Calibri" w:cs="Calibri" w:eastAsia="Calibri" w:hAnsi="Calibri"/>
              </w:rPr>
              <w:t xml:space="preserve">18</w:t>
            </w:r>
          </w:p>
        </w:tc>
        <w:tc>
          <w:p>
            <w:r>
              <w:rPr>
                <w:b w:val="false"/>
                <w:bCs w:val="false"/>
                <w:color w:val="1a1a1a"/>
                <w:sz w:val="20"/>
                <w:szCs w:val="20"/>
                <w:rFonts w:ascii="Calibri" w:cs="Calibri" w:eastAsia="Calibri" w:hAnsi="Calibri"/>
              </w:rPr>
              <w:t xml:space="preserve">9</w:t>
            </w:r>
          </w:p>
        </w:tc>
        <w:tc>
          <w:p>
            <w:r>
              <w:rPr>
                <w:b w:val="false"/>
                <w:bCs w:val="false"/>
                <w:color w:val="1a1a1a"/>
                <w:sz w:val="20"/>
                <w:szCs w:val="20"/>
                <w:rFonts w:ascii="Calibri" w:cs="Calibri" w:eastAsia="Calibri" w:hAnsi="Calibri"/>
              </w:rPr>
              <w:t xml:space="preserve">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EEE6FF" w:val="solid"/>
          </w:tcPr>
          <w:p>
            <w:r>
              <w:rPr>
                <w:b/>
                <w:bCs/>
                <w:color w:val="1a1a1a"/>
                <w:sz w:val="20"/>
                <w:szCs w:val="20"/>
                <w:rFonts w:ascii="Calibri" w:cs="Calibri" w:eastAsia="Calibri" w:hAnsi="Calibri"/>
              </w:rPr>
              <w:t xml:space="preserve">Output</w:t>
            </w:r>
          </w:p>
        </w:tc>
        <w:tc>
          <w:tcPr>
            <w:shd w:color="EEE6FF" w:val="solid"/>
          </w:tcPr>
          <w:p>
            <w:r>
              <w:rPr>
                <w:b/>
                <w:bCs/>
                <w:color w:val="1a1a1a"/>
                <w:sz w:val="20"/>
                <w:szCs w:val="20"/>
                <w:rFonts w:ascii="Calibri" w:cs="Calibri" w:eastAsia="Calibri" w:hAnsi="Calibri"/>
              </w:rPr>
              <w:t xml:space="preserve">Worst</w:t>
            </w:r>
          </w:p>
        </w:tc>
        <w:tc>
          <w:tcPr>
            <w:shd w:color="EEE6FF" w:val="solid"/>
          </w:tcPr>
          <w:p>
            <w:r>
              <w:rPr>
                <w:b/>
                <w:bCs/>
                <w:color w:val="1a1a1a"/>
                <w:sz w:val="20"/>
                <w:szCs w:val="20"/>
                <w:rFonts w:ascii="Calibri" w:cs="Calibri" w:eastAsia="Calibri" w:hAnsi="Calibri"/>
              </w:rPr>
              <w:t xml:space="preserve">Base</w:t>
            </w:r>
          </w:p>
        </w:tc>
        <w:tc>
          <w:tcPr>
            <w:shd w:color="EEE6FF" w:val="solid"/>
          </w:tcPr>
          <w:p>
            <w:r>
              <w:rPr>
                <w:b/>
                <w:bCs/>
                <w:color w:val="1a1a1a"/>
                <w:sz w:val="20"/>
                <w:szCs w:val="20"/>
                <w:rFonts w:ascii="Calibri" w:cs="Calibri" w:eastAsia="Calibri" w:hAnsi="Calibri"/>
              </w:rPr>
              <w:t xml:space="preserve">Best</w:t>
            </w:r>
          </w:p>
        </w:tc>
      </w:tr>
      <w:tr>
        <w:tc>
          <w:p>
            <w:r>
              <w:rPr>
                <w:b w:val="false"/>
                <w:bCs w:val="false"/>
                <w:color w:val="1a1a1a"/>
                <w:sz w:val="20"/>
                <w:szCs w:val="20"/>
                <w:rFonts w:ascii="Calibri" w:cs="Calibri" w:eastAsia="Calibri" w:hAnsi="Calibri"/>
              </w:rPr>
              <w:t xml:space="preserve">Month 12 MRR</w:t>
            </w:r>
          </w:p>
        </w:tc>
        <w:tc>
          <w:p>
            <w:r>
              <w:rPr>
                <w:b w:val="false"/>
                <w:bCs w:val="false"/>
                <w:color w:val="1a1a1a"/>
                <w:sz w:val="20"/>
                <w:szCs w:val="20"/>
                <w:rFonts w:ascii="Calibri" w:cs="Calibri" w:eastAsia="Calibri" w:hAnsi="Calibri"/>
              </w:rPr>
              <w:t xml:space="preserve">$4.9K</w:t>
            </w:r>
          </w:p>
        </w:tc>
        <w:tc>
          <w:p>
            <w:r>
              <w:rPr>
                <w:b w:val="false"/>
                <w:bCs w:val="false"/>
                <w:color w:val="1a1a1a"/>
                <w:sz w:val="20"/>
                <w:szCs w:val="20"/>
                <w:rFonts w:ascii="Calibri" w:cs="Calibri" w:eastAsia="Calibri" w:hAnsi="Calibri"/>
              </w:rPr>
              <w:t xml:space="preserve">$25.1K</w:t>
            </w:r>
          </w:p>
        </w:tc>
        <w:tc>
          <w:p>
            <w:r>
              <w:rPr>
                <w:b w:val="false"/>
                <w:bCs w:val="false"/>
                <w:color w:val="1a1a1a"/>
                <w:sz w:val="20"/>
                <w:szCs w:val="20"/>
                <w:rFonts w:ascii="Calibri" w:cs="Calibri" w:eastAsia="Calibri" w:hAnsi="Calibri"/>
              </w:rPr>
              <w:t xml:space="preserve">$151.8K</w:t>
            </w:r>
          </w:p>
        </w:tc>
      </w:tr>
      <w:tr>
        <w:tc>
          <w:p>
            <w:r>
              <w:rPr>
                <w:b w:val="false"/>
                <w:bCs w:val="false"/>
                <w:color w:val="1a1a1a"/>
                <w:sz w:val="20"/>
                <w:szCs w:val="20"/>
                <w:rFonts w:ascii="Calibri" w:cs="Calibri" w:eastAsia="Calibri" w:hAnsi="Calibri"/>
              </w:rPr>
              <w:t xml:space="preserve">Month 24 MRR</w:t>
            </w:r>
          </w:p>
        </w:tc>
        <w:tc>
          <w:p>
            <w:r>
              <w:rPr>
                <w:b w:val="false"/>
                <w:bCs w:val="false"/>
                <w:color w:val="1a1a1a"/>
                <w:sz w:val="20"/>
                <w:szCs w:val="20"/>
                <w:rFonts w:ascii="Calibri" w:cs="Calibri" w:eastAsia="Calibri" w:hAnsi="Calibri"/>
              </w:rPr>
              <w:t xml:space="preserve">$13.8K</w:t>
            </w:r>
          </w:p>
        </w:tc>
        <w:tc>
          <w:p>
            <w:r>
              <w:rPr>
                <w:b w:val="false"/>
                <w:bCs w:val="false"/>
                <w:color w:val="1a1a1a"/>
                <w:sz w:val="20"/>
                <w:szCs w:val="20"/>
                <w:rFonts w:ascii="Calibri" w:cs="Calibri" w:eastAsia="Calibri" w:hAnsi="Calibri"/>
              </w:rPr>
              <w:t xml:space="preserve">$102.7K</w:t>
            </w:r>
          </w:p>
        </w:tc>
        <w:tc>
          <w:p>
            <w:r>
              <w:rPr>
                <w:b w:val="false"/>
                <w:bCs w:val="false"/>
                <w:color w:val="1a1a1a"/>
                <w:sz w:val="20"/>
                <w:szCs w:val="20"/>
                <w:rFonts w:ascii="Calibri" w:cs="Calibri" w:eastAsia="Calibri" w:hAnsi="Calibri"/>
              </w:rPr>
              <w:t xml:space="preserve">$1.5M</w:t>
            </w:r>
          </w:p>
        </w:tc>
      </w:tr>
      <w:tr>
        <w:tc>
          <w:p>
            <w:r>
              <w:rPr>
                <w:b w:val="false"/>
                <w:bCs w:val="false"/>
                <w:color w:val="1a1a1a"/>
                <w:sz w:val="20"/>
                <w:szCs w:val="20"/>
                <w:rFonts w:ascii="Calibri" w:cs="Calibri" w:eastAsia="Calibri" w:hAnsi="Calibri"/>
              </w:rPr>
              <w:t xml:space="preserve">Month 36 MRR</w:t>
            </w:r>
          </w:p>
        </w:tc>
        <w:tc>
          <w:p>
            <w:r>
              <w:rPr>
                <w:b w:val="false"/>
                <w:bCs w:val="false"/>
                <w:color w:val="1a1a1a"/>
                <w:sz w:val="20"/>
                <w:szCs w:val="20"/>
                <w:rFonts w:ascii="Calibri" w:cs="Calibri" w:eastAsia="Calibri" w:hAnsi="Calibri"/>
              </w:rPr>
              <w:t xml:space="preserve">$28.8K</w:t>
            </w:r>
          </w:p>
        </w:tc>
        <w:tc>
          <w:p>
            <w:r>
              <w:rPr>
                <w:b w:val="false"/>
                <w:bCs w:val="false"/>
                <w:color w:val="1a1a1a"/>
                <w:sz w:val="20"/>
                <w:szCs w:val="20"/>
                <w:rFonts w:ascii="Calibri" w:cs="Calibri" w:eastAsia="Calibri" w:hAnsi="Calibri"/>
              </w:rPr>
              <w:t xml:space="preserve">$346.1K</w:t>
            </w:r>
          </w:p>
        </w:tc>
        <w:tc>
          <w:p>
            <w:r>
              <w:rPr>
                <w:b w:val="false"/>
                <w:bCs w:val="false"/>
                <w:color w:val="1a1a1a"/>
                <w:sz w:val="20"/>
                <w:szCs w:val="20"/>
                <w:rFonts w:ascii="Calibri" w:cs="Calibri" w:eastAsia="Calibri" w:hAnsi="Calibri"/>
              </w:rPr>
              <w:t xml:space="preserve">$13.5M</w:t>
            </w:r>
          </w:p>
        </w:tc>
      </w:tr>
      <w:tr>
        <w:tc>
          <w:p>
            <w:r>
              <w:rPr>
                <w:b w:val="false"/>
                <w:bCs w:val="false"/>
                <w:color w:val="1a1a1a"/>
                <w:sz w:val="20"/>
                <w:szCs w:val="20"/>
                <w:rFonts w:ascii="Calibri" w:cs="Calibri" w:eastAsia="Calibri" w:hAnsi="Calibri"/>
              </w:rPr>
              <w:t xml:space="preserve">Series A trigger ($150K MRR)</w:t>
            </w:r>
          </w:p>
        </w:tc>
        <w:tc>
          <w:p>
            <w:r>
              <w:rPr>
                <w:b w:val="false"/>
                <w:bCs w:val="false"/>
                <w:color w:val="1a1a1a"/>
                <w:sz w:val="20"/>
                <w:szCs w:val="20"/>
                <w:rFonts w:ascii="Calibri" w:cs="Calibri" w:eastAsia="Calibri" w:hAnsi="Calibri"/>
              </w:rPr>
              <w:t xml:space="preserve">Month 36</w:t>
            </w:r>
          </w:p>
        </w:tc>
        <w:tc>
          <w:p>
            <w:r>
              <w:rPr>
                <w:b w:val="false"/>
                <w:bCs w:val="false"/>
                <w:color w:val="1a1a1a"/>
                <w:sz w:val="20"/>
                <w:szCs w:val="20"/>
                <w:rFonts w:ascii="Calibri" w:cs="Calibri" w:eastAsia="Calibri" w:hAnsi="Calibri"/>
              </w:rPr>
              <w:t xml:space="preserve">Month 18</w:t>
            </w:r>
          </w:p>
        </w:tc>
        <w:tc>
          <w:p>
            <w:r>
              <w:rPr>
                <w:b w:val="false"/>
                <w:bCs w:val="false"/>
                <w:color w:val="1a1a1a"/>
                <w:sz w:val="20"/>
                <w:szCs w:val="20"/>
                <w:rFonts w:ascii="Calibri" w:cs="Calibri" w:eastAsia="Calibri" w:hAnsi="Calibri"/>
              </w:rPr>
              <w:t xml:space="preserve">Month 10</w:t>
            </w:r>
          </w:p>
        </w:tc>
      </w:tr>
    </w:tbl>
    <w:p>
      <w:pPr>
        <w:spacing w:after="200" w:before="0"/>
      </w:pPr>
      <w:r>
        <w:rPr>
          <w:b w:val="false"/>
          <w:bCs w:val="false"/>
          <w:i w:val="false"/>
          <w:iCs w:val="false"/>
          <w:color w:val="1a1a1a"/>
          <w:sz w:val="22"/>
          <w:szCs w:val="22"/>
          <w:rFonts w:ascii="Calibri" w:cs="Calibri" w:eastAsia="Calibri" w:hAnsi="Calibri"/>
        </w:rPr>
        <w:t xml:space="preserve">Illustrative model only — not a projection, promise, or forward-looking statement. The Worst scenario is sized against the $500K minimum close (1–2 years runway, per Part VII.3); the Base scenario is sized against the $2M target raise (a few years runway). Full model with monthly cash trajectories is in the Data Room.</w:t>
      </w:r>
    </w:p>
    <w:p>
      <w:r>
        <w:br w:type="page"/>
      </w:r>
    </w:p>
    <w:p>
      <w:pPr>
        <w:pStyle w:val="Heading1"/>
        <w:spacing w:before="480" w:after="200"/>
      </w:pPr>
      <w:r>
        <w:rPr>
          <w:b/>
          <w:bCs/>
          <w:color w:val="7c3aed"/>
          <w:sz w:val="34"/>
          <w:szCs w:val="34"/>
          <w:rFonts w:ascii="Calibri" w:cs="Calibri" w:eastAsia="Calibri" w:hAnsi="Calibri"/>
        </w:rPr>
        <w:t xml:space="preserve">Part VIII — Risk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EE6FF" w:val="solid"/>
          </w:tcPr>
          <w:p>
            <w:r>
              <w:rPr>
                <w:b/>
                <w:bCs/>
                <w:color w:val="1a1a1a"/>
                <w:sz w:val="20"/>
                <w:szCs w:val="20"/>
                <w:rFonts w:ascii="Calibri" w:cs="Calibri" w:eastAsia="Calibri" w:hAnsi="Calibri"/>
              </w:rPr>
              <w:t xml:space="preserve">Risk</w:t>
            </w:r>
          </w:p>
        </w:tc>
        <w:tc>
          <w:tcPr>
            <w:shd w:color="EEE6FF" w:val="solid"/>
          </w:tcPr>
          <w:p>
            <w:r>
              <w:rPr>
                <w:b/>
                <w:bCs/>
                <w:color w:val="1a1a1a"/>
                <w:sz w:val="20"/>
                <w:szCs w:val="20"/>
                <w:rFonts w:ascii="Calibri" w:cs="Calibri" w:eastAsia="Calibri" w:hAnsi="Calibri"/>
              </w:rPr>
              <w:t xml:space="preserve">What it means</w:t>
            </w:r>
          </w:p>
        </w:tc>
        <w:tc>
          <w:tcPr>
            <w:shd w:color="EEE6FF" w:val="solid"/>
          </w:tcPr>
          <w:p>
            <w:r>
              <w:rPr>
                <w:b/>
                <w:bCs/>
                <w:color w:val="1a1a1a"/>
                <w:sz w:val="20"/>
                <w:szCs w:val="20"/>
                <w:rFonts w:ascii="Calibri" w:cs="Calibri" w:eastAsia="Calibri" w:hAnsi="Calibri"/>
              </w:rPr>
              <w:t xml:space="preserve">Mitigation in place</w:t>
            </w:r>
          </w:p>
        </w:tc>
      </w:tr>
      <w:tr>
        <w:tc>
          <w:p>
            <w:r>
              <w:rPr>
                <w:b w:val="false"/>
                <w:bCs w:val="false"/>
                <w:color w:val="1a1a1a"/>
                <w:sz w:val="20"/>
                <w:szCs w:val="20"/>
                <w:rFonts w:ascii="Calibri" w:cs="Calibri" w:eastAsia="Calibri" w:hAnsi="Calibri"/>
              </w:rPr>
              <w:t xml:space="preserve">LLM cost compression stalls</w:t>
            </w:r>
          </w:p>
        </w:tc>
        <w:tc>
          <w:p>
            <w:r>
              <w:rPr>
                <w:b w:val="false"/>
                <w:bCs w:val="false"/>
                <w:color w:val="1a1a1a"/>
                <w:sz w:val="20"/>
                <w:szCs w:val="20"/>
                <w:rFonts w:ascii="Calibri" w:cs="Calibri" w:eastAsia="Calibri" w:hAnsi="Calibri"/>
              </w:rPr>
              <w:t xml:space="preserve">If inference costs rise or stop compressing, the unit-economics assumption inverts.</w:t>
            </w:r>
          </w:p>
        </w:tc>
        <w:tc>
          <w:p>
            <w:r>
              <w:rPr>
                <w:b w:val="false"/>
                <w:bCs w:val="false"/>
                <w:color w:val="1a1a1a"/>
                <w:sz w:val="20"/>
                <w:szCs w:val="20"/>
                <w:rFonts w:ascii="Calibri" w:cs="Calibri" w:eastAsia="Calibri" w:hAnsi="Calibri"/>
              </w:rPr>
              <w:t xml:space="preserve">Model-agnostic architecture — the rules engine validates output regardless of which model produced it.</w:t>
            </w:r>
          </w:p>
        </w:tc>
      </w:tr>
      <w:tr>
        <w:tc>
          <w:p>
            <w:r>
              <w:rPr>
                <w:b w:val="false"/>
                <w:bCs w:val="false"/>
                <w:color w:val="1a1a1a"/>
                <w:sz w:val="20"/>
                <w:szCs w:val="20"/>
                <w:rFonts w:ascii="Calibri" w:cs="Calibri" w:eastAsia="Calibri" w:hAnsi="Calibri"/>
              </w:rPr>
              <w:t xml:space="preserve">Well-funded incumbent ships competing platform</w:t>
            </w:r>
          </w:p>
        </w:tc>
        <w:tc>
          <w:p>
            <w:r>
              <w:rPr>
                <w:b w:val="false"/>
                <w:bCs w:val="false"/>
                <w:color w:val="1a1a1a"/>
                <w:sz w:val="20"/>
                <w:szCs w:val="20"/>
                <w:rFonts w:ascii="Calibri" w:cs="Calibri" w:eastAsia="Calibri" w:hAnsi="Calibri"/>
              </w:rPr>
              <w:t xml:space="preserve">A foundation-model lab or major SaaS vendor targets domain experts directly.</w:t>
            </w:r>
          </w:p>
        </w:tc>
        <w:tc>
          <w:p>
            <w:r>
              <w:rPr>
                <w:b w:val="false"/>
                <w:bCs w:val="false"/>
                <w:color w:val="1a1a1a"/>
                <w:sz w:val="20"/>
                <w:szCs w:val="20"/>
                <w:rFonts w:ascii="Calibri" w:cs="Calibri" w:eastAsia="Calibri" w:hAnsi="Calibri"/>
              </w:rPr>
              <w:t xml:space="preserve">Patent priority date, RAAS corpus, real production head start. Forces them to license, replicate the corpus, or differentiate elsewhere.</w:t>
            </w:r>
          </w:p>
        </w:tc>
      </w:tr>
      <w:tr>
        <w:tc>
          <w:p>
            <w:r>
              <w:rPr>
                <w:b w:val="false"/>
                <w:bCs w:val="false"/>
                <w:color w:val="1a1a1a"/>
                <w:sz w:val="20"/>
                <w:szCs w:val="20"/>
                <w:rFonts w:ascii="Calibri" w:cs="Calibri" w:eastAsia="Calibri" w:hAnsi="Calibri"/>
              </w:rPr>
              <w:t xml:space="preserve">Creator flywheel does not compound</w:t>
            </w:r>
          </w:p>
        </w:tc>
        <w:tc>
          <w:p>
            <w:r>
              <w:rPr>
                <w:b w:val="false"/>
                <w:bCs w:val="false"/>
                <w:color w:val="1a1a1a"/>
                <w:sz w:val="20"/>
                <w:szCs w:val="20"/>
                <w:rFonts w:ascii="Calibri" w:cs="Calibri" w:eastAsia="Calibri" w:hAnsi="Calibri"/>
              </w:rPr>
              <w:t xml:space="preserve">Sandbox-built workers don't find buyers; platform reduces to vertical SaaS with audit trails.</w:t>
            </w:r>
          </w:p>
        </w:tc>
        <w:tc>
          <w:p>
            <w:r>
              <w:rPr>
                <w:b w:val="false"/>
                <w:bCs w:val="false"/>
                <w:color w:val="1a1a1a"/>
                <w:sz w:val="20"/>
                <w:szCs w:val="20"/>
                <w:rFonts w:ascii="Calibri" w:cs="Calibri" w:eastAsia="Calibri" w:hAnsi="Calibri"/>
              </w:rPr>
              <w:t xml:space="preserve">Enterprise/direct-sales pipeline produces revenue independent of the creator funnel.</w:t>
            </w:r>
          </w:p>
        </w:tc>
      </w:tr>
      <w:tr>
        <w:tc>
          <w:p>
            <w:r>
              <w:rPr>
                <w:b w:val="false"/>
                <w:bCs w:val="false"/>
                <w:color w:val="1a1a1a"/>
                <w:sz w:val="20"/>
                <w:szCs w:val="20"/>
                <w:rFonts w:ascii="Calibri" w:cs="Calibri" w:eastAsia="Calibri" w:hAnsi="Calibri"/>
              </w:rPr>
              <w:t xml:space="preserve">Regulatory exposure on specific RAAS modules</w:t>
            </w:r>
          </w:p>
        </w:tc>
        <w:tc>
          <w:p>
            <w:r>
              <w:rPr>
                <w:b w:val="false"/>
                <w:bCs w:val="false"/>
                <w:color w:val="1a1a1a"/>
                <w:sz w:val="20"/>
                <w:szCs w:val="20"/>
                <w:rFonts w:ascii="Calibri" w:cs="Calibri" w:eastAsia="Calibri" w:hAnsi="Calibri"/>
              </w:rPr>
              <w:t xml:space="preserve">A worker's output is cited as unlicensed practice in a regulated field.</w:t>
            </w:r>
          </w:p>
        </w:tc>
        <w:tc>
          <w:p>
            <w:r>
              <w:rPr>
                <w:b w:val="false"/>
                <w:bCs w:val="false"/>
                <w:color w:val="1a1a1a"/>
                <w:sz w:val="20"/>
                <w:szCs w:val="20"/>
                <w:rFonts w:ascii="Calibri" w:cs="Calibri" w:eastAsia="Calibri" w:hAnsi="Calibri"/>
              </w:rPr>
              <w:t xml:space="preserve">User-counsel attestation pattern at worker activation; counsel-reviewed agreements.</w:t>
            </w:r>
          </w:p>
        </w:tc>
      </w:tr>
      <w:tr>
        <w:tc>
          <w:p>
            <w:r>
              <w:rPr>
                <w:b w:val="false"/>
                <w:bCs w:val="false"/>
                <w:color w:val="1a1a1a"/>
                <w:sz w:val="20"/>
                <w:szCs w:val="20"/>
                <w:rFonts w:ascii="Calibri" w:cs="Calibri" w:eastAsia="Calibri" w:hAnsi="Calibri"/>
              </w:rPr>
              <w:t xml:space="preserve">Patent prosecution narrows claims</w:t>
            </w:r>
          </w:p>
        </w:tc>
        <w:tc>
          <w:p>
            <w:r>
              <w:rPr>
                <w:b w:val="false"/>
                <w:bCs w:val="false"/>
                <w:color w:val="1a1a1a"/>
                <w:sz w:val="20"/>
                <w:szCs w:val="20"/>
                <w:rFonts w:ascii="Calibri" w:cs="Calibri" w:eastAsia="Calibri" w:hAnsi="Calibri"/>
              </w:rPr>
              <w:t xml:space="preserve">Conversion to non-provisional (May 2027) surfaces prior art not yet found.</w:t>
            </w:r>
          </w:p>
        </w:tc>
        <w:tc>
          <w:p>
            <w:r>
              <w:rPr>
                <w:b w:val="false"/>
                <w:bCs w:val="false"/>
                <w:color w:val="1a1a1a"/>
                <w:sz w:val="20"/>
                <w:szCs w:val="20"/>
                <w:rFonts w:ascii="Calibri" w:cs="Calibri" w:eastAsia="Calibri" w:hAnsi="Calibri"/>
              </w:rPr>
              <w:t xml:space="preserve">Prior-art-as-priority strategy; counsel assessment is the core composition claims are defensible.</w:t>
            </w:r>
          </w:p>
        </w:tc>
      </w:tr>
      <w:tr>
        <w:tc>
          <w:p>
            <w:r>
              <w:rPr>
                <w:b w:val="false"/>
                <w:bCs w:val="false"/>
                <w:color w:val="1a1a1a"/>
                <w:sz w:val="20"/>
                <w:szCs w:val="20"/>
                <w:rFonts w:ascii="Calibri" w:cs="Calibri" w:eastAsia="Calibri" w:hAnsi="Calibri"/>
              </w:rPr>
              <w:t xml:space="preserve">Founder bandwidth / key-person risk</w:t>
            </w:r>
          </w:p>
        </w:tc>
        <w:tc>
          <w:p>
            <w:r>
              <w:rPr>
                <w:b w:val="false"/>
                <w:bCs w:val="false"/>
                <w:color w:val="1a1a1a"/>
                <w:sz w:val="20"/>
                <w:szCs w:val="20"/>
                <w:rFonts w:ascii="Calibri" w:cs="Calibri" w:eastAsia="Calibri" w:hAnsi="Calibri"/>
              </w:rPr>
              <w:t xml:space="preserve">Founder is an active pilot with a regular flight schedule, operating the company at small team size.</w:t>
            </w:r>
          </w:p>
        </w:tc>
        <w:tc>
          <w:p>
            <w:r>
              <w:rPr>
                <w:b w:val="false"/>
                <w:bCs w:val="false"/>
                <w:color w:val="1a1a1a"/>
                <w:sz w:val="20"/>
                <w:szCs w:val="20"/>
                <w:rFonts w:ascii="Calibri" w:cs="Calibri" w:eastAsia="Calibri" w:hAnsi="Calibri"/>
              </w:rPr>
              <w:t xml:space="preserve">AI workers absorb operational load by design. Key-person insurance under evaluation.</w:t>
            </w:r>
          </w:p>
        </w:tc>
      </w:tr>
    </w:tbl>
    <w:p>
      <w:r>
        <w:br w:type="page"/>
      </w:r>
    </w:p>
    <w:p>
      <w:pPr>
        <w:pStyle w:val="Heading1"/>
        <w:spacing w:before="480" w:after="200"/>
      </w:pPr>
      <w:r>
        <w:rPr>
          <w:b/>
          <w:bCs/>
          <w:color w:val="7c3aed"/>
          <w:sz w:val="34"/>
          <w:szCs w:val="34"/>
          <w:rFonts w:ascii="Calibri" w:cs="Calibri" w:eastAsia="Calibri" w:hAnsi="Calibri"/>
        </w:rPr>
        <w:t xml:space="preserve">Part IX — Investment Mechanics</w:t>
      </w:r>
    </w:p>
    <w:p>
      <w:pPr>
        <w:pStyle w:val="Heading2"/>
        <w:spacing w:before="320" w:after="140"/>
      </w:pPr>
      <w:r>
        <w:rPr>
          <w:b/>
          <w:bCs/>
          <w:color w:val="7c3aed"/>
          <w:sz w:val="26"/>
          <w:szCs w:val="26"/>
          <w:rFonts w:ascii="Calibri" w:cs="Calibri" w:eastAsia="Calibri" w:hAnsi="Calibri"/>
        </w:rPr>
        <w:t xml:space="preserve">Round terms</w:t>
      </w:r>
    </w:p>
    <w:p>
      <w:pPr>
        <w:spacing w:after="200" w:before="0"/>
      </w:pPr>
      <w:r>
        <w:rPr>
          <w:b w:val="false"/>
          <w:bCs w:val="false"/>
          <w:i w:val="false"/>
          <w:iCs w:val="false"/>
          <w:color w:val="1a1a1a"/>
          <w:sz w:val="22"/>
          <w:szCs w:val="22"/>
          <w:rFonts w:ascii="Calibri" w:cs="Calibri" w:eastAsia="Calibri" w:hAnsi="Calibri"/>
        </w:rPr>
        <w:t xml:space="preserve">Rolling YC-style SAFE. Minimum viable close: $500K. Base target: $2M. Open to strategic capital up to $5M+. Sole-manager governance through the Series A trigger ($150K MRR).</w:t>
      </w:r>
    </w:p>
    <w:p>
      <w:pPr>
        <w:pStyle w:val="Heading2"/>
        <w:spacing w:before="320" w:after="140"/>
      </w:pPr>
      <w:r>
        <w:rPr>
          <w:b/>
          <w:bCs/>
          <w:color w:val="7c3aed"/>
          <w:sz w:val="26"/>
          <w:szCs w:val="26"/>
          <w:rFonts w:ascii="Calibri" w:cs="Calibri" w:eastAsia="Calibri" w:hAnsi="Calibri"/>
        </w:rPr>
        <w:t xml:space="preserve">Securities-law posture</w:t>
      </w:r>
    </w:p>
    <w:p>
      <w:pPr>
        <w:spacing w:after="200" w:before="0"/>
      </w:pPr>
      <w:r>
        <w:rPr>
          <w:b w:val="false"/>
          <w:bCs w:val="false"/>
          <w:i w:val="false"/>
          <w:iCs w:val="false"/>
          <w:color w:val="1a1a1a"/>
          <w:sz w:val="22"/>
          <w:szCs w:val="22"/>
          <w:rFonts w:ascii="Calibri" w:cs="Calibri" w:eastAsia="Calibri" w:hAnsi="Calibri"/>
        </w:rPr>
        <w:t xml:space="preserve">Reg D 506(b). Offered to accredited investors with pre-existing relationships to the founders.</w:t>
      </w:r>
    </w:p>
    <w:p>
      <w:pPr>
        <w:pStyle w:val="Heading2"/>
        <w:spacing w:before="320" w:after="140"/>
      </w:pPr>
      <w:r>
        <w:rPr>
          <w:b/>
          <w:bCs/>
          <w:color w:val="7c3aed"/>
          <w:sz w:val="26"/>
          <w:szCs w:val="26"/>
          <w:rFonts w:ascii="Calibri" w:cs="Calibri" w:eastAsia="Calibri" w:hAnsi="Calibri"/>
        </w:rPr>
        <w:t xml:space="preserve">Contacts</w:t>
      </w:r>
    </w:p>
    <w:p>
      <w:pPr>
        <w:spacing w:after="200" w:before="0"/>
      </w:pPr>
      <w:r>
        <w:rPr>
          <w:b w:val="false"/>
          <w:bCs w:val="false"/>
          <w:i w:val="false"/>
          <w:iCs w:val="false"/>
          <w:color w:val="1a1a1a"/>
          <w:sz w:val="22"/>
          <w:szCs w:val="22"/>
          <w:rFonts w:ascii="Calibri" w:cs="Calibri" w:eastAsia="Calibri" w:hAnsi="Calibri"/>
        </w:rPr>
        <w:t xml:space="preserve">Sean Lee Combs, Founder &amp; CEO — sean@sociii.ai</w:t>
      </w:r>
    </w:p>
    <w:p>
      <w:pPr>
        <w:spacing w:after="200" w:before="0"/>
      </w:pPr>
      <w:r>
        <w:rPr>
          <w:b w:val="false"/>
          <w:bCs w:val="false"/>
          <w:i w:val="false"/>
          <w:iCs w:val="false"/>
          <w:color w:val="1a1a1a"/>
          <w:sz w:val="22"/>
          <w:szCs w:val="22"/>
          <w:rFonts w:ascii="Calibri" w:cs="Calibri" w:eastAsia="Calibri" w:hAnsi="Calibri"/>
        </w:rPr>
        <w:t xml:space="preserve">Kent Redwine, Cofounder — kent@sociii.ai</w:t>
      </w:r>
    </w:p>
    <w:p>
      <w:r>
        <w:br w:type="page"/>
      </w:r>
    </w:p>
    <w:p>
      <w:pPr>
        <w:pStyle w:val="Heading1"/>
        <w:spacing w:before="480" w:after="200"/>
      </w:pPr>
      <w:r>
        <w:rPr>
          <w:b/>
          <w:bCs/>
          <w:color w:val="7c3aed"/>
          <w:sz w:val="34"/>
          <w:szCs w:val="34"/>
          <w:rFonts w:ascii="Calibri" w:cs="Calibri" w:eastAsia="Calibri" w:hAnsi="Calibri"/>
        </w:rPr>
        <w:t xml:space="preserve">Open Items for Founder Review</w:t>
      </w:r>
    </w:p>
    <w:p>
      <w:pPr>
        <w:spacing w:after="200" w:before="0"/>
      </w:pPr>
      <w:r>
        <w:rPr>
          <w:b w:val="false"/>
          <w:bCs w:val="false"/>
          <w:i w:val="false"/>
          <w:iCs w:val="false"/>
          <w:color w:val="1a1a1a"/>
          <w:sz w:val="22"/>
          <w:szCs w:val="22"/>
          <w:rFonts w:ascii="Calibri" w:cs="Calibri" w:eastAsia="Calibri" w:hAnsi="Calibri"/>
        </w:rPr>
        <w:t xml:space="preserve">This memorandum was assembled from the fullest prior draft available, with all figures this session could independently verify corrected. The following items are flagged, not resolved, and should be settled before this goes to a real investor:</w:t>
      </w:r>
    </w:p>
    <w:p>
      <w:pPr>
        <w:spacing w:after="200" w:before="0"/>
      </w:pPr>
      <w:r>
        <w:rPr>
          <w:b w:val="false"/>
          <w:bCs w:val="false"/>
          <w:i w:val="false"/>
          <w:iCs w:val="false"/>
          <w:color w:val="1a1a1a"/>
          <w:sz w:val="22"/>
          <w:szCs w:val="22"/>
          <w:rFonts w:ascii="Calibri" w:cs="Calibri" w:eastAsia="Calibri" w:hAnsi="Calibri"/>
        </w:rPr>
        <w:t xml:space="preserve">1. Part VI.2 — the $615K/$228K creditor-exposure figures vs. the separately-corrected real balance sheet ($140,915.49 total liabilities). Reconcile whether these are the same obligation or genuinely different categories.</w:t>
      </w:r>
    </w:p>
    <w:p>
      <w:pPr>
        <w:spacing w:after="200" w:before="0"/>
      </w:pPr>
      <w:r>
        <w:rPr>
          <w:b w:val="false"/>
          <w:bCs w:val="false"/>
          <w:i w:val="false"/>
          <w:iCs w:val="false"/>
          <w:color w:val="1a1a1a"/>
          <w:sz w:val="22"/>
          <w:szCs w:val="22"/>
          <w:rFonts w:ascii="Calibri" w:cs="Calibri" w:eastAsia="Calibri" w:hAnsi="Calibri"/>
        </w:rPr>
        <w:t xml:space="preserve">2. Robert Rosenberg appears as both a team/advisor entry and a named creditor. Confirm this is one real person in two real roles.</w:t>
      </w:r>
    </w:p>
    <w:p>
      <w:pPr>
        <w:spacing w:after="200" w:before="0"/>
      </w:pPr>
      <w:r>
        <w:rPr>
          <w:b w:val="false"/>
          <w:bCs w:val="false"/>
          <w:i w:val="false"/>
          <w:iCs w:val="false"/>
          <w:color w:val="1a1a1a"/>
          <w:sz w:val="22"/>
          <w:szCs w:val="22"/>
          <w:rFonts w:ascii="Calibri" w:cs="Calibri" w:eastAsia="Calibri" w:hAnsi="Calibri"/>
        </w:rPr>
        <w:t xml:space="preserve">3. Traitly/DPP revenue-vs-proof status was not clearly determinable this pass — confirm whether it should be framed like the UH partnership (proof/research) or as real revenue.</w:t>
      </w:r>
    </w:p>
    <w:p>
      <w:pPr>
        <w:spacing w:after="200" w:before="0"/>
      </w:pPr>
      <w:r>
        <w:rPr>
          <w:b w:val="false"/>
          <w:bCs w:val="false"/>
          <w:i w:val="false"/>
          <w:iCs w:val="false"/>
          <w:color w:val="1a1a1a"/>
          <w:sz w:val="22"/>
          <w:szCs w:val="22"/>
          <w:rFonts w:ascii="Calibri" w:cs="Calibri" w:eastAsia="Calibri" w:hAnsi="Calibri"/>
        </w:rPr>
        <w:t xml:space="preserve">4. "Harvey AI at ~$3B" and "NanoClaw raised $12M in six weeks" are unverified, time-sensitive comp claims — worth a fresh check before final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2026-09-08T20:08:46.338Z</dcterms:created>
  <dcterms:modified xsi:type="dcterms:W3CDTF">2026-09-08T20:08:46.345Z</dcterms:modified>
</cp:coreProperties>
</file>

<file path=docProps/custom.xml><?xml version="1.0" encoding="utf-8"?>
<Properties xmlns="http://schemas.openxmlformats.org/officeDocument/2006/custom-properties" xmlns:vt="http://schemas.openxmlformats.org/officeDocument/2006/docPropsVTypes"/>
</file>