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Sample Digital Battery Passport</w:t>
      </w:r>
    </w:p>
    <w:p>
      <w:r>
        <w:rPr>
          <w:i/>
          <w:iCs/>
          <w:color w:val="6B7280"/>
        </w:rPr>
        <w:t xml:space="preserve">Dummy product — for Traitly pitch and demonstration use only</w:t>
      </w:r>
    </w:p>
    <w:p/>
    <w:p>
      <w:r>
        <w:rPr>
          <w:b/>
          <w:bCs/>
        </w:rPr>
        <w:t xml:space="preserve">Product modeled on: </w:t>
      </w:r>
      <w:r>
        <w:t xml:space="preserve">a fictional C&amp;I (commercial &amp; industrial) stationary energy storage unit, in the style of the product class covered by the EU Battery Regulation's industrial-battery (&gt;2 kWh) category.</w:t>
      </w:r>
    </w:p>
    <w:p>
      <w:r>
        <w:rPr>
          <w:b/>
          <w:bCs/>
        </w:rPr>
        <w:t xml:space="preserve">Legal basis: </w:t>
      </w:r>
      <w:r>
        <w:t xml:space="preserve">Regulation (EU) 2023/1542, Article 77 and Annex XIII. Clusters follow the Battery Pass Consortium's Content Guidance; dynamic attribute set per DIN DKE SPEC 99100.</w:t>
      </w:r>
    </w:p>
    <w:p>
      <w:r>
        <w:rPr>
          <w:b/>
          <w:bCs/>
        </w:rPr>
        <w:t xml:space="preserve">Mandatory deadline: </w:t>
      </w:r>
      <w:r>
        <w:t xml:space="preserve">18 February 2027, for EV, LMT, and industrial batteries above 2 kWh.</w:t>
      </w:r>
    </w:p>
    <w:p/>
    <w:p>
      <w:r>
        <w:rPr>
          <w:b/>
          <w:bCs/>
        </w:rPr>
        <w:t xml:space="preserve">On update frequency for dynamic data</w:t>
      </w:r>
    </w:p>
    <w:p>
      <w:r>
        <w:t xml:space="preserve">Annex XIII 4(d) only requires dynamic data be captured "periodically" and kept "up to date" — no numeric interval is set in the Regulation. EUROBAT's industry interpretation, reflected in the "Update Trigger" column below, is event-triggered: an update is due upon a material change in status (ownership transfer, refurbishment, significant maintenance) rather than on a continuous or fixed schedule. DIN DKE SPEC 99100 fixes which dynamic attributes are mandatory (all 16 for stationary industrial batteries &gt;2kWh) but not their update frequency. The Commission has signaled further rulebook guidance is still coming — treat this as the current, defensible industry position, not a confirmed final rule.</w:t>
      </w:r>
    </w:p>
    <w:p/>
    <w:p>
      <w:r>
        <w:rPr>
          <w:b/>
          <w:bCs/>
        </w:rPr>
        <w:t xml:space="preserve">On responsible party</w:t>
      </w:r>
    </w:p>
    <w:p>
      <w:r>
        <w:t xml:space="preserve">The Regulation places overall legal responsibility on the "economic operator" placing the battery on the EU market — that obligation cannot be delegated away, even though the underlying data collection often is. The "Responsible Party" column below shows a reasonable operational allocation of who generates or controls each data point, not a role the law itself assigns field-by-field.</w:t>
      </w:r>
    </w:p>
    <w:p/>
    <w:p>
      <w:r>
        <w:rPr>
          <w:b/>
          <w:bCs/>
        </w:rPr>
        <w:t xml:space="preserve">Access tiers</w:t>
      </w:r>
    </w:p>
    <w:p>
      <w:r>
        <w:rPr>
          <w:b/>
          <w:bCs/>
        </w:rPr>
        <w:t xml:space="preserve">Public</w:t>
      </w:r>
      <w:r>
        <w:t xml:space="preserve"> — anyone scanning the QR code   ·   </w:t>
      </w:r>
      <w:r>
        <w:rPr>
          <w:b/>
          <w:bCs/>
        </w:rPr>
        <w:t xml:space="preserve">Legitimate Interest</w:t>
      </w:r>
      <w:r>
        <w:t xml:space="preserve"> — technicians, recyclers, owners   ·   </w:t>
      </w:r>
      <w:r>
        <w:rPr>
          <w:b/>
          <w:bCs/>
        </w:rPr>
        <w:t xml:space="preserve">Regulator Only</w:t>
      </w:r>
      <w:r>
        <w:t xml:space="preserve"> — notified bodies, market surveillance authorities</w:t>
      </w:r>
    </w:p>
    <w:p>
      <w:r>
        <w:br w:type="page"/>
      </w:r>
    </w:p>
    <w:p>
      <w:pPr>
        <w:pStyle w:val="Heading1"/>
      </w:pPr>
      <w:r>
        <w:t xml:space="preserve">1. General Information</w:t>
      </w:r>
    </w:p>
    <w:p>
      <w:r>
        <w:rPr>
          <w:i/>
          <w:iCs/>
          <w:color w:val="6B7280"/>
        </w:rPr>
        <w:t xml:space="preserve">Model identity, manufacturer, and market-placement details.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Battery Model Identifier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TRT-ESS-100C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at manufacture; changes only if a new model is introduced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Unique Identifier Serial Number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TRT-ESS-100C-2027-000482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assigned once per unit, never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Battery Category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Industrial battery, stationary, &gt;2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at manufacture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Name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Exemplar Energy Storage GmbH (sample entity)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legal entity name/ownership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Address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Musterstrasse 12, 80331 Munich, Germany (sample address)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registered address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 Date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2027-01-14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at manufacture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 Location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Shenzhen, China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batch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Batch Number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BATCH-2027-Q1-0117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at manufacture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Economic Operator Placing On Market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Sample EU Importer B.V., Rotterdam, Netherlands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EU Importer / Economic Operator (e.g. Traitly's client, such as Battlink)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the entity placing the battery on the EU market changes</w:t>
            </w:r>
          </w:p>
        </w:tc>
      </w:tr>
    </w:tbl>
    <w:p/>
    <w:p>
      <w:pPr>
        <w:pStyle w:val="Heading1"/>
      </w:pPr>
      <w:r>
        <w:t xml:space="preserve">2. Compliance &amp; Labels</w:t>
      </w:r>
    </w:p>
    <w:p>
      <w:r>
        <w:rPr>
          <w:i/>
          <w:iCs/>
          <w:color w:val="6B7280"/>
        </w:rPr>
        <w:t xml:space="preserve">CE marking, conformity declaration, applicable standards.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Ce Marking Status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Affixed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(self-declares); verified by Notified Body where required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unless conformity status is revoked/reassessed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Eu Declaration Of Conformity Reference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DoC-TRT-ESS-100C-2027-0004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a new Declaration of Conformity is issued (e.g. after a design change)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Applicable Standards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IEC 62619, IEC 63056, ISO/IEC 15459 (unique identifier)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standards conformity basis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Notified Body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Sample Notified Body No. 1234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Regulator Only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Notified Body (engaged by Manufacturer)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a different Notified Body is engaged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Qr Code Data Carrier Standard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ISO/IEC 15459-compliant QR / GS1 Digital Link resolvable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/ EU Importer (data carrier deployment)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at manufacture</w:t>
            </w:r>
          </w:p>
        </w:tc>
      </w:tr>
    </w:tbl>
    <w:p/>
    <w:p>
      <w:pPr>
        <w:pStyle w:val="Heading1"/>
      </w:pPr>
      <w:r>
        <w:t xml:space="preserve">3. Carbon Footprint</w:t>
      </w:r>
    </w:p>
    <w:p>
      <w:r>
        <w:rPr>
          <w:i/>
          <w:iCs/>
          <w:color w:val="6B7280"/>
        </w:rPr>
        <w:t xml:space="preserve">Lifecycle emissions declared across the four required stages.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Lifecycle Carbon Footprint Total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61.4 kg CO2e /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(calculates); Third-Party Verifier (audits)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the underlying calculation is redone (e.g. annual recalculation cycle, or process change)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Carbon Footprint Performance Class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Class C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Manufacturer; Third-Party Verifier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Recalculated alongside the total footprint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Raw Material Stage Emissions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34.1 kg CO2e /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Tier 1/2 Material Suppliers (source data) aggregated by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sourcing or supplier mix changes materially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Manufacturing Stage Emissions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18.6 kg CO2e /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(own facility energy/process data)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production process or energy mix changes materially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Distribution Stage Emissions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4.2 kg CO2e /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Logistics Provider (data) via Manufacturer/Economic Operator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shipping route/mode changes materially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End Of Life Stage Emissions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4.5 kg CO2e /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(modeled estimate); Recycler (actuals where available)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recycling methodology or recovery rates change materially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Calculation Methodology Reference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EU delegated act carbon footprint methodology, industrial batteries (sample reference)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Manufacturer, per applicable EU delegated act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the underlying EU methodology is revised</w:t>
            </w:r>
          </w:p>
        </w:tc>
      </w:tr>
    </w:tbl>
    <w:p/>
    <w:p>
      <w:pPr>
        <w:pStyle w:val="Heading1"/>
      </w:pPr>
      <w:r>
        <w:t xml:space="preserve">4. Supply Chain Due Diligence</w:t>
      </w:r>
    </w:p>
    <w:p>
      <w:r>
        <w:rPr>
          <w:i/>
          <w:iCs/>
          <w:color w:val="6B7280"/>
        </w:rPr>
        <w:t xml:space="preserve">Sourcing risk policy and traceability for critical raw materials.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Due Diligence Policy Summary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Sample summary: risk-based sourcing policy for cobalt, lithium, nickel, natural graphite, aligned to OECD Due Diligence Guidance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/ Economic Operator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Annual policy review, or upon material change in sourcing risk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Third Party Verification Status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Verified — sample auditor, 2026-11-02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Independent Third-Party Auditor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Upon each verification/audit cycle (typically annual)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Cobalt Source Countries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DRC (sample — smelter-level traceability), Indonesia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Tier 1/2 Raw 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sourcing countries/smelters change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Lithium Source Countries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Australia, Chile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Tier 1/2 Raw 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sourcing countries change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Conflict Minerals Compliance Reference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Aligned to Reg. (EU) 2017/821 (sample statement)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Manufacturer, based on supplier declarations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Annual review, or upon supplier declaration change</w:t>
            </w:r>
          </w:p>
        </w:tc>
      </w:tr>
    </w:tbl>
    <w:p/>
    <w:p>
      <w:pPr>
        <w:pStyle w:val="Heading1"/>
      </w:pPr>
      <w:r>
        <w:t xml:space="preserve">5. Materials &amp; Composition</w:t>
      </w:r>
    </w:p>
    <w:p>
      <w:r>
        <w:rPr>
          <w:i/>
          <w:iCs/>
          <w:color w:val="6B7280"/>
        </w:rPr>
        <w:t xml:space="preserve">Chemistry, hazardous substances, and recycled content.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Battery Chemistry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Lithium Iron Phosphate (LFP)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model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Hazardous Substances Declaration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None above regulatory threshold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formulation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Recycled Content Cobalt Pct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N/A (LFP chemistry, no cobalt)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chemistry/formulation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Recycled Content Lithium Pct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4.2%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sourcing mix changes materially (e.g. per batch or per year)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Recycled Content Nickel Pct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N/A (LFP chemistry)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chemistry/formulation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Recycled Content Lead Pct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N/A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Material Suppliers, reported through 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chemistry/formulation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Detailed Bill Of Materials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[restricted — full BOM available to authorised technicians/recyclers only]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the bill of materials for the model changes</w:t>
            </w:r>
          </w:p>
        </w:tc>
      </w:tr>
    </w:tbl>
    <w:p/>
    <w:p>
      <w:pPr>
        <w:pStyle w:val="Heading1"/>
      </w:pPr>
      <w:r>
        <w:t xml:space="preserve">6. Circularity &amp; Resource Efficiency</w:t>
      </w:r>
    </w:p>
    <w:p>
      <w:r>
        <w:rPr>
          <w:i/>
          <w:iCs/>
          <w:color w:val="6B7280"/>
        </w:rPr>
        <w:t xml:space="preserve">Design for disassembly, second-life suitability, recyclability.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Removability Replaceability Design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Modular rack design, cell-level replacement supported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(design)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model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Dismantling Information Reference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Dismantling manual DM-TRT-ESS-100C-v2 (sample, restricted access)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a revised manual is issued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Second Life Suitability Assessment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Suitable for stationary second-life use at ≥70% SoH per sample assessment criteria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(initial criteria); Recycler / Second-Life Operator (ongoing reassessment)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Reassessed at end-of-first-life, or upon ownership transfer for second-life use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Recyclability Rate Declared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96% by weight (sample, per Annex XII methodology)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Manufacturer; verified by Recycler/Auditor data over time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design or recyclability testing changes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Recycler Designation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Sample designated recycler network, EU-registered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 / Economic Operator (designates); Recycler (confirms registration)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the designated recycler network changes</w:t>
            </w:r>
          </w:p>
        </w:tc>
      </w:tr>
    </w:tbl>
    <w:p/>
    <w:p>
      <w:pPr>
        <w:pStyle w:val="Heading1"/>
      </w:pPr>
      <w:r>
        <w:t xml:space="preserve">7. Performance &amp; Durability</w:t>
      </w:r>
    </w:p>
    <w:p>
      <w:r>
        <w:rPr>
          <w:i/>
          <w:iCs/>
          <w:color w:val="6B7280"/>
        </w:rPr>
        <w:t xml:space="preserve">Rated specs plus live, dynamic battery-management data.</w:t>
      </w:r>
    </w:p>
    <w:p/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500"/>
        <w:gridCol w:w="2800"/>
        <w:gridCol w:w="3300"/>
      </w:tblGrid>
      <w:tr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Sample Value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Access Tier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Responsible Party</w:t>
            </w:r>
          </w:p>
        </w:tc>
        <w:tc>
          <w:tcPr>
            <w:tcW w:type="dxa" w:w="3300"/>
            <w:shd w:fill="1F2937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Update Trigger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Rated Capacity Kwh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100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model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Nominal Voltage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716 V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model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Expected Service Life Cycles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6,000 cycles @ 80% depth of discharge (sample rating)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N/A — fixed per model, based on lab testing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Warranty Period  [Static]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10 years / 6,000 cycles, whichever first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Public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Only if warranty terms are revised for new units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State Of Health Current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98.4%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Owner/Operator or O&amp;M Provider (via BMS telemetry); Manufacturer if under a monitored-service contract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Event-triggered: material SoH change, refurbishment, ownership transfer, significant maintenance — no fixed interval mandated by the Regulation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Cycle Count Current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142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Owner/Operator or O&amp;M Provider (via BMS telemetry)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Event-triggered, same basis as State of Health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Remaining Capacity Current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98.6 kWh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Owner/Operator or O&amp;M Provider (via BMS telemetry)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Event-triggered, same basis as State of Health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Operating Temperature History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Avg 24.1°C, max 38.6°C (sample, periodically logged)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Owner/Operator or O&amp;M Provider (via BMS telemetry)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Periodically recorded per Annex XIII 4(d); exact interval left to operator judgment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Negative Events Log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None recorded (sample)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Owner/Operator or O&amp;M Provider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Immediately upon occurrence of an accident or significant negative event</w:t>
            </w:r>
          </w:p>
        </w:tc>
      </w:tr>
      <w:tr>
        <w:tc>
          <w:tcPr>
            <w:tcW w:type="dxa" w:w="2100"/>
          </w:tcPr>
          <w:p>
            <w:r>
              <w:rPr>
                <w:i w:val="false"/>
                <w:iCs w:val="false"/>
                <w:color w:val="B45309"/>
                <w:sz w:val="15"/>
                <w:szCs w:val="15"/>
              </w:rPr>
              <w:t xml:space="preserve">Last Data Update Timestamp  [Dynamic]</w:t>
            </w:r>
          </w:p>
        </w:tc>
        <w:tc>
          <w:tcPr>
            <w:tcW w:type="dxa" w:w="3300"/>
          </w:tcPr>
          <w:p>
            <w:r>
              <w:rPr>
                <w:i/>
                <w:iCs/>
                <w:color w:val="374151"/>
                <w:sz w:val="15"/>
                <w:szCs w:val="15"/>
              </w:rPr>
              <w:t xml:space="preserve">2027-02-18T09:14:00Z</w:t>
            </w:r>
          </w:p>
        </w:tc>
        <w:tc>
          <w:tcPr>
            <w:tcW w:type="dxa" w:w="15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Legit. Interest</w:t>
            </w:r>
          </w:p>
        </w:tc>
        <w:tc>
          <w:tcPr>
            <w:tcW w:type="dxa" w:w="28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System-generated (whichever party's system pushes the update)</w:t>
            </w:r>
          </w:p>
        </w:tc>
        <w:tc>
          <w:tcPr>
            <w:tcW w:type="dxa" w:w="3300"/>
          </w:tcPr>
          <w:p>
            <w:r>
              <w:rPr>
                <w:i w:val="false"/>
                <w:iCs w:val="false"/>
                <w:color w:val="000000"/>
                <w:sz w:val="15"/>
                <w:szCs w:val="15"/>
              </w:rPr>
              <w:t xml:space="preserve">Auto-updates whenever any dynamic field above changes</w:t>
            </w:r>
          </w:p>
        </w:tc>
      </w:tr>
    </w:tbl>
    <w:p/>
    <w:p>
      <w:pPr>
        <w:pStyle w:val="Heading1"/>
      </w:pPr>
      <w:r>
        <w:t xml:space="preserve">Notes for use in pitches</w:t>
      </w:r>
    </w:p>
    <w:p>
      <w:r>
        <w:t xml:space="preserve">This is illustrative sample data — not a real product, not verified regulatory content. It shows a prospect both what a completed passport contains and, critically, who in their own supply chain would need to supply and maintain each piece of it — which is usually the part a manufacturer hasn't mapped internally yet.</w:t>
      </w:r>
    </w:p>
    <w:p>
      <w:r>
        <w:t xml:space="preserve">The [Dynamic] fields in Cluster 7, plus the second-life reassessment field in Cluster 6, are the ones requiring a live BMS connection or an ongoing operational process — this is the part of the build with the most engineering dependency, worth flagging transparently rather than implying it works out of the box.</w:t>
      </w:r>
    </w:p>
    <w:p>
      <w:r>
        <w:t xml:space="preserve">Field counts here are representative, not exhaustive — the real Annex XIII schema for EV batteries runs to roughly 80 mandatory attributes; industrial batteries carry a comparable but not identical set.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2026-08-14T00:58:47.849Z</dcterms:created>
  <dcterms:modified xsi:type="dcterms:W3CDTF">2026-08-14T00:58:47.865Z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