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E2761"/>
          <w:sz w:val="60"/>
          <w:szCs w:val="60"/>
        </w:rPr>
        <w:t xml:space="preserve">TitleApp</w:t>
      </w:r>
    </w:p>
    <w:p>
      <w:pPr>
        <w:spacing w:after="100"/>
        <w:jc w:val="center"/>
      </w:pPr>
      <w:r>
        <w:rPr>
          <w:rFonts w:ascii="Arial" w:cs="Arial" w:eastAsia="Arial" w:hAnsi="Arial"/>
          <w:color w:val="2C5F2D"/>
          <w:sz w:val="32"/>
          <w:szCs w:val="32"/>
        </w:rPr>
        <w:t xml:space="preserve">The Digital Worker Platform</w:t>
      </w:r>
    </w:p>
    <w:p>
      <w:pPr>
        <w:spacing w:after="400"/>
        <w:jc w:val="center"/>
      </w:pPr>
      <w:r>
        <w:rPr>
          <w:rFonts w:ascii="Arial" w:cs="Arial" w:eastAsia="Arial" w:hAnsi="Arial"/>
          <w:i/>
          <w:iCs/>
          <w:color w:val="666666"/>
          <w:sz w:val="24"/>
          <w:szCs w:val="24"/>
        </w:rPr>
        <w:t xml:space="preserve">Your AI follows your rules. Every time.</w:t>
      </w:r>
    </w:p>
    <w:p>
      <w:pPr>
        <w:spacing w:after="100"/>
        <w:jc w:val="center"/>
      </w:pPr>
      <w:r>
        <w:rPr>
          <w:rFonts w:ascii="Arial" w:cs="Arial" w:eastAsia="Arial" w:hAnsi="Arial"/>
          <w:sz w:val="22"/>
          <w:szCs w:val="22"/>
        </w:rPr>
        <w:t xml:space="preserve">Business Plan — March 2026</w:t>
      </w:r>
    </w:p>
    <w:p>
      <w:pPr>
        <w:spacing w:after="100"/>
        <w:jc w:val="center"/>
      </w:pPr>
      <w:r>
        <w:rPr>
          <w:rFonts w:ascii="Arial" w:cs="Arial" w:eastAsia="Arial" w:hAnsi="Arial"/>
          <w:b/>
          <w:bCs/>
          <w:color w:val="CC0000"/>
          <w:sz w:val="22"/>
          <w:szCs w:val="22"/>
        </w:rPr>
        <w:t xml:space="preserve">Confidential</w:t>
      </w:r>
    </w:p>
    <w:p>
      <w:pPr>
        <w:spacing w:after="80"/>
      </w:pPr>
    </w:p>
    <w:p>
      <w:pPr>
        <w:jc w:val="center"/>
      </w:pPr>
      <w:r>
        <w:rPr>
          <w:rFonts w:ascii="Arial" w:cs="Arial" w:eastAsia="Arial" w:hAnsi="Arial"/>
          <w:color w:val="666666"/>
          <w:sz w:val="20"/>
          <w:szCs w:val="20"/>
        </w:rPr>
        <w:t xml:space="preserve">The Title App LLC (Delaware)</w:t>
      </w:r>
    </w:p>
    <w:p>
      <w:pPr>
        <w:jc w:val="center"/>
      </w:pPr>
      <w:r>
        <w:rPr>
          <w:rFonts w:ascii="Arial" w:cs="Arial" w:eastAsia="Arial" w:hAnsi="Arial"/>
          <w:color w:val="666666"/>
          <w:sz w:val="20"/>
          <w:szCs w:val="20"/>
        </w:rPr>
        <w:t xml:space="preserve">EIN 33-1330902 | DUNS 119438383</w:t>
      </w:r>
    </w:p>
    <w:p>
      <w:pPr>
        <w:jc w:val="center"/>
      </w:pPr>
      <w:r>
        <w:rPr>
          <w:rFonts w:ascii="Arial" w:cs="Arial" w:eastAsia="Arial" w:hAnsi="Arial"/>
          <w:color w:val="666666"/>
          <w:sz w:val="20"/>
          <w:szCs w:val="20"/>
        </w:rPr>
        <w:t xml:space="preserve">1209 N Orange St, Wilmington, DE 19801</w:t>
      </w:r>
    </w:p>
    <w:p>
      <w:pPr>
        <w:jc w:val="center"/>
      </w:pPr>
      <w:r>
        <w:rPr>
          <w:rFonts w:ascii="Arial" w:cs="Arial" w:eastAsia="Arial" w:hAnsi="Arial"/>
          <w:color w:val="1E2761"/>
          <w:sz w:val="20"/>
          <w:szCs w:val="20"/>
        </w:rPr>
        <w:t xml:space="preserve">sean@titleapp.ai | kent@titleapp.ai | titleapp.ai</w:t>
      </w:r>
    </w:p>
    <w:p>
      <w:r>
        <w:br w:type="page"/>
      </w:r>
    </w:p>
    <w:p>
      <w:pPr>
        <w:pStyle w:val="Heading1"/>
        <w:spacing w:before="400" w:after="200"/>
      </w:pPr>
      <w:r>
        <w:rPr>
          <w:rFonts w:ascii="Arial" w:cs="Arial" w:eastAsia="Arial" w:hAnsi="Arial"/>
          <w:b/>
          <w:bCs/>
          <w:color w:val="1E2761"/>
          <w:sz w:val="32"/>
          <w:szCs w:val="32"/>
        </w:rPr>
        <w:t xml:space="preserve">1. Executive Summary</w:t>
      </w:r>
    </w:p>
    <w:p>
      <w:pPr>
        <w:spacing w:after="120"/>
        <w:jc w:val="left"/>
      </w:pPr>
      <w:r>
        <w:rPr>
          <w:rFonts w:ascii="Arial" w:cs="Arial" w:eastAsia="Arial" w:hAnsi="Arial"/>
          <w:b w:val="false"/>
          <w:bCs w:val="false"/>
          <w:i w:val="false"/>
          <w:iCs w:val="false"/>
          <w:color w:val="000000"/>
          <w:sz w:val="22"/>
          <w:szCs w:val="22"/>
        </w:rPr>
        <w:t xml:space="preserve">TitleApp is the platform for Digital Workers — AI agents that follow your rules, check every answer before you see it, and keep proof that it was done right.</w:t>
      </w:r>
    </w:p>
    <w:p>
      <w:pPr>
        <w:spacing w:after="120"/>
        <w:jc w:val="left"/>
      </w:pPr>
      <w:r>
        <w:rPr>
          <w:rFonts w:ascii="Arial" w:cs="Arial" w:eastAsia="Arial" w:hAnsi="Arial"/>
          <w:b w:val="false"/>
          <w:bCs w:val="false"/>
          <w:i w:val="false"/>
          <w:iCs w:val="false"/>
          <w:color w:val="000000"/>
          <w:sz w:val="22"/>
          <w:szCs w:val="22"/>
        </w:rPr>
        <w:t xml:space="preserve">Every industry has rules. Mortgage lenders follow TILA and RESPA. Airlines follow FARs. Construction companies follow OSHA and building codes. Auto dealers follow state disclosure laws. Today, enforcing these rules costs businesses $500–$5,000/month in rigid compliance software, or they just hope their AI doesn’t hallucinate something dangerous.</w:t>
      </w:r>
    </w:p>
    <w:p>
      <w:pPr>
        <w:spacing w:after="120"/>
        <w:jc w:val="left"/>
      </w:pPr>
      <w:r>
        <w:rPr>
          <w:rFonts w:ascii="Arial" w:cs="Arial" w:eastAsia="Arial" w:hAnsi="Arial"/>
          <w:b w:val="false"/>
          <w:bCs w:val="false"/>
          <w:i w:val="false"/>
          <w:iCs w:val="false"/>
          <w:color w:val="000000"/>
          <w:sz w:val="22"/>
          <w:szCs w:val="22"/>
        </w:rPr>
        <w:t xml:space="preserve">TitleApp replaces both with Digital Workers. A Digital Worker is an AI agent that operates within your rules. Every output is validated before delivery. Every action is logged to a tamper-proof audit trail. The result: AI that businesses can actually trust.</w:t>
      </w:r>
    </w:p>
    <w:p>
      <w:pPr>
        <w:spacing w:after="120"/>
        <w:jc w:val="left"/>
      </w:pPr>
      <w:r>
        <w:rPr>
          <w:rFonts w:ascii="Arial" w:cs="Arial" w:eastAsia="Arial" w:hAnsi="Arial"/>
          <w:b w:val="false"/>
          <w:bCs w:val="false"/>
          <w:i w:val="false"/>
          <w:iCs w:val="false"/>
          <w:color w:val="000000"/>
          <w:sz w:val="22"/>
          <w:szCs w:val="22"/>
        </w:rPr>
        <w:t xml:space="preserve">We serve two audiences. Businesses subscribe to Digital Workers that handle their compliance, operations, and analysis. Domain experts build and sell Digital Workers, earning 75% of subscription revenue.</w:t>
      </w:r>
    </w:p>
    <w:p>
      <w:pPr>
        <w:spacing w:after="120"/>
        <w:jc w:val="left"/>
      </w:pPr>
      <w:r>
        <w:rPr>
          <w:rFonts w:ascii="Arial" w:cs="Arial" w:eastAsia="Arial" w:hAnsi="Arial"/>
          <w:b w:val="false"/>
          <w:bCs w:val="false"/>
          <w:i w:val="false"/>
          <w:iCs w:val="false"/>
          <w:color w:val="000000"/>
          <w:sz w:val="22"/>
          <w:szCs w:val="22"/>
        </w:rPr>
        <w:t xml:space="preserve">Our first deep vertical is real estate development and construction — 52 Digital Workers covering the entire lifecycle from site selection through disposition. A general contractor gets a digital construction office for ~$630/month. An institutional investor gets the full lifecycle for ~$3,200/month, replacing $50,000+/month in consultant fees.</w:t>
      </w:r>
    </w:p>
    <w:p>
      <w:pPr>
        <w:spacing w:after="120"/>
        <w:jc w:val="left"/>
      </w:pPr>
      <w:r>
        <w:rPr>
          <w:rFonts w:ascii="Arial" w:cs="Arial" w:eastAsia="Arial" w:hAnsi="Arial"/>
          <w:b w:val="false"/>
          <w:bCs w:val="false"/>
          <w:i w:val="false"/>
          <w:iCs w:val="false"/>
          <w:color w:val="000000"/>
          <w:sz w:val="22"/>
          <w:szCs w:val="22"/>
        </w:rPr>
        <w:t xml:space="preserve">We are raising $1,070,000 via Regulation Crowdfunding on Wefunder using a Post-Money SAFE with a $15M valuation cap and 20% discount. The raise itself runs on TitleApp — the investor data room, onboarding, and pipeline tracking are all powered by our platform.</w:t>
      </w:r>
    </w:p>
    <w:p>
      <w:pPr>
        <w:pStyle w:val="Heading1"/>
        <w:spacing w:before="400" w:after="200"/>
      </w:pPr>
      <w:r>
        <w:rPr>
          <w:rFonts w:ascii="Arial" w:cs="Arial" w:eastAsia="Arial" w:hAnsi="Arial"/>
          <w:b/>
          <w:bCs/>
          <w:color w:val="1E2761"/>
          <w:sz w:val="32"/>
          <w:szCs w:val="32"/>
        </w:rPr>
        <w:t xml:space="preserve">2. The Problem</w:t>
      </w:r>
    </w:p>
    <w:p>
      <w:pPr>
        <w:spacing w:after="120"/>
        <w:jc w:val="left"/>
      </w:pPr>
      <w:r>
        <w:rPr>
          <w:rFonts w:ascii="Arial" w:cs="Arial" w:eastAsia="Arial" w:hAnsi="Arial"/>
          <w:b w:val="false"/>
          <w:bCs w:val="false"/>
          <w:i w:val="false"/>
          <w:iCs w:val="false"/>
          <w:color w:val="000000"/>
          <w:sz w:val="22"/>
          <w:szCs w:val="22"/>
        </w:rPr>
        <w:t xml:space="preserve">AI is powerful but ungoverned. Large language models hallucinate, drift, and produce inconsistent outputs. This makes them unreliable for high-stakes business operations where accuracy isn’t optional.</w:t>
      </w:r>
    </w:p>
    <w:p>
      <w:pPr>
        <w:spacing w:after="120"/>
        <w:jc w:val="left"/>
      </w:pPr>
      <w:r>
        <w:rPr>
          <w:rFonts w:ascii="Arial" w:cs="Arial" w:eastAsia="Arial" w:hAnsi="Arial"/>
          <w:b w:val="false"/>
          <w:bCs w:val="false"/>
          <w:i w:val="false"/>
          <w:iCs w:val="false"/>
          <w:color w:val="000000"/>
          <w:sz w:val="22"/>
          <w:szCs w:val="22"/>
        </w:rPr>
        <w:t xml:space="preserve">A mortgage lender can’t let AI hallucinate a TILA disclosure. An airline can’t trust AI with maintenance compliance. A construction lender can’t fund a draw based on AI that might have miscalculated retainage. A healthcare provider can’t allow AI to misinterpret HIPAA.</w:t>
      </w:r>
    </w:p>
    <w:p>
      <w:pPr>
        <w:spacing w:after="120"/>
        <w:jc w:val="left"/>
      </w:pPr>
      <w:r>
        <w:rPr>
          <w:rFonts w:ascii="Arial" w:cs="Arial" w:eastAsia="Arial" w:hAnsi="Arial"/>
          <w:b w:val="false"/>
          <w:bCs w:val="false"/>
          <w:i w:val="false"/>
          <w:iCs w:val="false"/>
          <w:color w:val="000000"/>
          <w:sz w:val="22"/>
          <w:szCs w:val="22"/>
        </w:rPr>
        <w:t xml:space="preserve">Legacy compliance software holds businesses hostage at $500–$5,000/month with rigid interfaces, vendor lock-in, and zero AI capability. The market is stuck between dumb software that follows rules but can’t think, and smart AI that thinks but doesn’t follow rules.</w:t>
      </w:r>
    </w:p>
    <w:p>
      <w:pPr>
        <w:spacing w:after="120"/>
      </w:pPr>
      <w:r>
        <w:rPr>
          <w:rFonts w:ascii="Arial" w:cs="Arial" w:eastAsia="Arial" w:hAnsi="Arial"/>
          <w:b w:val="false"/>
          <w:bCs w:val="false"/>
          <w:i w:val="false"/>
          <w:iCs w:val="false"/>
          <w:color w:val="000000"/>
          <w:sz w:val="22"/>
          <w:szCs w:val="22"/>
        </w:rPr>
        <w:t xml:space="preserve">The fix: give AI rules. Not suggestions. Not prompts. </w:t>
      </w:r>
      <w:r>
        <w:rPr>
          <w:rFonts w:ascii="Arial" w:cs="Arial" w:eastAsia="Arial" w:hAnsi="Arial"/>
          <w:b/>
          <w:bCs/>
          <w:i w:val="false"/>
          <w:iCs w:val="false"/>
          <w:color w:val="000000"/>
          <w:sz w:val="22"/>
          <w:szCs w:val="22"/>
        </w:rPr>
        <w:t xml:space="preserve">Enforceable rules with proof.</w:t>
      </w:r>
    </w:p>
    <w:p>
      <w:pPr>
        <w:pStyle w:val="Heading1"/>
        <w:spacing w:before="400" w:after="200"/>
      </w:pPr>
      <w:r>
        <w:rPr>
          <w:rFonts w:ascii="Arial" w:cs="Arial" w:eastAsia="Arial" w:hAnsi="Arial"/>
          <w:b/>
          <w:bCs/>
          <w:color w:val="1E2761"/>
          <w:sz w:val="32"/>
          <w:szCs w:val="32"/>
        </w:rPr>
        <w:t xml:space="preserve">3. The Solution — Digital Workers</w:t>
      </w:r>
    </w:p>
    <w:p>
      <w:pPr>
        <w:spacing w:after="120"/>
        <w:jc w:val="left"/>
      </w:pPr>
      <w:r>
        <w:rPr>
          <w:rFonts w:ascii="Arial" w:cs="Arial" w:eastAsia="Arial" w:hAnsi="Arial"/>
          <w:b w:val="false"/>
          <w:bCs w:val="false"/>
          <w:i w:val="false"/>
          <w:iCs w:val="false"/>
          <w:color w:val="000000"/>
          <w:sz w:val="22"/>
          <w:szCs w:val="22"/>
        </w:rPr>
        <w:t xml:space="preserve">A Digital Worker is an AI agent that operates within human-defined rules. Every output is checked before you see it. Every action is logged. The result: AI that businesses can actually trust.</w:t>
      </w:r>
    </w:p>
    <w:p>
      <w:pPr>
        <w:pStyle w:val="Heading2"/>
        <w:spacing w:before="300" w:after="150"/>
      </w:pPr>
      <w:r>
        <w:rPr>
          <w:rFonts w:ascii="Arial" w:cs="Arial" w:eastAsia="Arial" w:hAnsi="Arial"/>
          <w:b/>
          <w:bCs/>
          <w:color w:val="2C5F2D"/>
          <w:sz w:val="26"/>
          <w:szCs w:val="26"/>
        </w:rPr>
        <w:t xml:space="preserve">How It Works</w:t>
      </w:r>
    </w:p>
    <w:p>
      <w:pPr>
        <w:pStyle w:val="ListParagraph"/>
        <w:numPr>
          <w:ilvl w:val="0"/>
          <w:numId w:val="2"/>
        </w:numPr>
        <w:spacing w:after="80"/>
      </w:pPr>
      <w:r>
        <w:rPr>
          <w:rFonts w:ascii="Arial" w:cs="Arial" w:eastAsia="Arial" w:hAnsi="Arial"/>
          <w:b/>
          <w:bCs/>
          <w:sz w:val="22"/>
          <w:szCs w:val="22"/>
        </w:rPr>
        <w:t xml:space="preserve">Talk to Alex. </w:t>
      </w:r>
      <w:r>
        <w:rPr>
          <w:rFonts w:ascii="Arial" w:cs="Arial" w:eastAsia="Arial" w:hAnsi="Arial"/>
          <w:sz w:val="22"/>
          <w:szCs w:val="22"/>
        </w:rPr>
        <w:t xml:space="preserve">Describe your business and your rules in plain English. Alex is TitleApp’s AI assistant — it guides every interaction.</w:t>
      </w:r>
    </w:p>
    <w:p>
      <w:pPr>
        <w:pStyle w:val="ListParagraph"/>
        <w:numPr>
          <w:ilvl w:val="0"/>
          <w:numId w:val="2"/>
        </w:numPr>
        <w:spacing w:after="80"/>
      </w:pPr>
      <w:r>
        <w:rPr>
          <w:rFonts w:ascii="Arial" w:cs="Arial" w:eastAsia="Arial" w:hAnsi="Arial"/>
          <w:b/>
          <w:bCs/>
          <w:sz w:val="22"/>
          <w:szCs w:val="22"/>
        </w:rPr>
        <w:t xml:space="preserve">Alex builds your Digital Worker. </w:t>
      </w:r>
      <w:r>
        <w:rPr>
          <w:rFonts w:ascii="Arial" w:cs="Arial" w:eastAsia="Arial" w:hAnsi="Arial"/>
          <w:sz w:val="22"/>
          <w:szCs w:val="22"/>
        </w:rPr>
        <w:t xml:space="preserve">Compliance for your industry (OSHA, RESPA, FARs, HIPAA, SEC) is embedded automatically.</w:t>
      </w:r>
    </w:p>
    <w:p>
      <w:pPr>
        <w:pStyle w:val="ListParagraph"/>
        <w:numPr>
          <w:ilvl w:val="0"/>
          <w:numId w:val="2"/>
        </w:numPr>
        <w:spacing w:after="80"/>
      </w:pPr>
      <w:r>
        <w:rPr>
          <w:rFonts w:ascii="Arial" w:cs="Arial" w:eastAsia="Arial" w:hAnsi="Arial"/>
          <w:b/>
          <w:bCs/>
          <w:sz w:val="22"/>
          <w:szCs w:val="22"/>
        </w:rPr>
        <w:t xml:space="preserve">The Digital Worker operates within your rules. </w:t>
      </w:r>
      <w:r>
        <w:rPr>
          <w:rFonts w:ascii="Arial" w:cs="Arial" w:eastAsia="Arial" w:hAnsi="Arial"/>
          <w:sz w:val="22"/>
          <w:szCs w:val="22"/>
        </w:rPr>
        <w:t xml:space="preserve">It monitors, analyzes, communicates, and automates — but every output passes through the enforcement engine first.</w:t>
      </w:r>
    </w:p>
    <w:p>
      <w:pPr>
        <w:pStyle w:val="ListParagraph"/>
        <w:numPr>
          <w:ilvl w:val="0"/>
          <w:numId w:val="2"/>
        </w:numPr>
        <w:spacing w:after="120"/>
      </w:pPr>
      <w:r>
        <w:rPr>
          <w:rFonts w:ascii="Arial" w:cs="Arial" w:eastAsia="Arial" w:hAnsi="Arial"/>
          <w:b/>
          <w:bCs/>
          <w:sz w:val="22"/>
          <w:szCs w:val="22"/>
        </w:rPr>
        <w:t xml:space="preserve">Everything is checked and logged. </w:t>
      </w:r>
      <w:r>
        <w:rPr>
          <w:rFonts w:ascii="Arial" w:cs="Arial" w:eastAsia="Arial" w:hAnsi="Arial"/>
          <w:sz w:val="22"/>
          <w:szCs w:val="22"/>
        </w:rPr>
        <w:t xml:space="preserve">Proof that it was done right. Not a promise — a record.</w:t>
      </w:r>
    </w:p>
    <w:p>
      <w:pPr>
        <w:pStyle w:val="Heading2"/>
        <w:spacing w:before="300" w:after="150"/>
      </w:pPr>
      <w:r>
        <w:rPr>
          <w:rFonts w:ascii="Arial" w:cs="Arial" w:eastAsia="Arial" w:hAnsi="Arial"/>
          <w:b/>
          <w:bCs/>
          <w:color w:val="2C5F2D"/>
          <w:sz w:val="26"/>
          <w:szCs w:val="26"/>
        </w:rPr>
        <w:t xml:space="preserve">The Vault</w:t>
      </w:r>
    </w:p>
    <w:p>
      <w:pPr>
        <w:spacing w:after="120"/>
        <w:jc w:val="left"/>
      </w:pPr>
      <w:r>
        <w:rPr>
          <w:rFonts w:ascii="Arial" w:cs="Arial" w:eastAsia="Arial" w:hAnsi="Arial"/>
          <w:b w:val="false"/>
          <w:bCs w:val="false"/>
          <w:i w:val="false"/>
          <w:iCs w:val="false"/>
          <w:color w:val="000000"/>
          <w:sz w:val="22"/>
          <w:szCs w:val="22"/>
        </w:rPr>
        <w:t xml:space="preserve">The Vault is where Digital Workers share data. When a Construction Manager updates a budget, the Construction Draw worker sees it instantly. When an investor’s lending worker needs draw data, it pulls from the same Vault. No emails, no spreadsheets, no reconciliation. One source of truth across your entire operation.</w:t>
      </w:r>
    </w:p>
    <w:p>
      <w:pPr>
        <w:pStyle w:val="Heading2"/>
        <w:spacing w:before="300" w:after="150"/>
      </w:pPr>
      <w:r>
        <w:rPr>
          <w:rFonts w:ascii="Arial" w:cs="Arial" w:eastAsia="Arial" w:hAnsi="Arial"/>
          <w:b/>
          <w:bCs/>
          <w:color w:val="2C5F2D"/>
          <w:sz w:val="26"/>
          <w:szCs w:val="26"/>
        </w:rPr>
        <w:t xml:space="preserve">Alex — Chief of Staff</w:t>
      </w:r>
    </w:p>
    <w:p>
      <w:pPr>
        <w:spacing w:after="120"/>
        <w:jc w:val="left"/>
      </w:pPr>
      <w:r>
        <w:rPr>
          <w:rFonts w:ascii="Arial" w:cs="Arial" w:eastAsia="Arial" w:hAnsi="Arial"/>
          <w:b w:val="false"/>
          <w:bCs w:val="false"/>
          <w:i w:val="false"/>
          <w:iCs w:val="false"/>
          <w:color w:val="000000"/>
          <w:sz w:val="22"/>
          <w:szCs w:val="22"/>
        </w:rPr>
        <w:t xml:space="preserve">Alex is your Chief of Staff. Free with three or more worker subscriptions. Alex gives you a morning briefing with every worker’s status, routes tasks to the right worker, catches cross-worker conflicts, and tracks deadlines across your entire operation. Alex is the orchestration layer that makes the platform feel like one system, not fifty separate tools.</w:t>
      </w:r>
    </w:p>
    <w:p>
      <w:pPr>
        <w:pStyle w:val="Heading1"/>
        <w:spacing w:before="400" w:after="200"/>
      </w:pPr>
      <w:r>
        <w:rPr>
          <w:rFonts w:ascii="Arial" w:cs="Arial" w:eastAsia="Arial" w:hAnsi="Arial"/>
          <w:b/>
          <w:bCs/>
          <w:color w:val="1E2761"/>
          <w:sz w:val="32"/>
          <w:szCs w:val="32"/>
        </w:rPr>
        <w:t xml:space="preserve">4. How We Approach a Vertical</w:t>
      </w:r>
    </w:p>
    <w:p>
      <w:pPr>
        <w:spacing w:after="120"/>
        <w:jc w:val="left"/>
      </w:pPr>
      <w:r>
        <w:rPr>
          <w:rFonts w:ascii="Arial" w:cs="Arial" w:eastAsia="Arial" w:hAnsi="Arial"/>
          <w:b w:val="false"/>
          <w:bCs w:val="false"/>
          <w:i w:val="false"/>
          <w:iCs w:val="false"/>
          <w:color w:val="000000"/>
          <w:sz w:val="22"/>
          <w:szCs w:val="22"/>
        </w:rPr>
        <w:t xml:space="preserve">TitleApp doesn’t build one-off AI features. We systematically map an entire industry’s workflow, regulations, and pain points, then build a catalog of workers that cover the full lifecycle. Here’s how:</w:t>
      </w:r>
    </w:p>
    <w:p>
      <w:pPr>
        <w:pStyle w:val="Heading2"/>
        <w:spacing w:before="300" w:after="150"/>
      </w:pPr>
      <w:r>
        <w:rPr>
          <w:rFonts w:ascii="Arial" w:cs="Arial" w:eastAsia="Arial" w:hAnsi="Arial"/>
          <w:b/>
          <w:bCs/>
          <w:color w:val="2C5F2D"/>
          <w:sz w:val="26"/>
          <w:szCs w:val="26"/>
        </w:rPr>
        <w:t xml:space="preserve">Step 1: Map the Lifecycle</w:t>
      </w:r>
    </w:p>
    <w:p>
      <w:pPr>
        <w:spacing w:after="120"/>
        <w:jc w:val="left"/>
      </w:pPr>
      <w:r>
        <w:rPr>
          <w:rFonts w:ascii="Arial" w:cs="Arial" w:eastAsia="Arial" w:hAnsi="Arial"/>
          <w:b w:val="false"/>
          <w:bCs w:val="false"/>
          <w:i w:val="false"/>
          <w:iCs w:val="false"/>
          <w:color w:val="000000"/>
          <w:sz w:val="22"/>
          <w:szCs w:val="22"/>
        </w:rPr>
        <w:t xml:space="preserve">Every industry has a lifecycle. In real estate development, it’s site selection → design → permitting → financing → construction → stabilization → operations → disposition. In aviation, it’s flight planning → dispatch → operations → maintenance → compliance → records. We map every phase.</w:t>
      </w:r>
    </w:p>
    <w:p>
      <w:pPr>
        <w:pStyle w:val="Heading2"/>
        <w:spacing w:before="300" w:after="150"/>
      </w:pPr>
      <w:r>
        <w:rPr>
          <w:rFonts w:ascii="Arial" w:cs="Arial" w:eastAsia="Arial" w:hAnsi="Arial"/>
          <w:b/>
          <w:bCs/>
          <w:color w:val="2C5F2D"/>
          <w:sz w:val="26"/>
          <w:szCs w:val="26"/>
        </w:rPr>
        <w:t xml:space="preserve">Step 2: Identify the Regulations</w:t>
      </w:r>
    </w:p>
    <w:p>
      <w:pPr>
        <w:spacing w:after="120"/>
        <w:jc w:val="left"/>
      </w:pPr>
      <w:r>
        <w:rPr>
          <w:rFonts w:ascii="Arial" w:cs="Arial" w:eastAsia="Arial" w:hAnsi="Arial"/>
          <w:b w:val="false"/>
          <w:bCs w:val="false"/>
          <w:i w:val="false"/>
          <w:iCs w:val="false"/>
          <w:color w:val="000000"/>
          <w:sz w:val="22"/>
          <w:szCs w:val="22"/>
        </w:rPr>
        <w:t xml:space="preserve">Every phase has regulations. Construction has OSHA, building codes, prevailing wage, mechanics liens. Financing has SEC regulations, TILA, RESPA, Blue Sky laws. These become the Tier 1 rules that every worker in that phase inherits. No worker ships without them.</w:t>
      </w:r>
    </w:p>
    <w:p>
      <w:pPr>
        <w:pStyle w:val="Heading2"/>
        <w:spacing w:before="300" w:after="150"/>
      </w:pPr>
      <w:r>
        <w:rPr>
          <w:rFonts w:ascii="Arial" w:cs="Arial" w:eastAsia="Arial" w:hAnsi="Arial"/>
          <w:b/>
          <w:bCs/>
          <w:color w:val="2C5F2D"/>
          <w:sz w:val="26"/>
          <w:szCs w:val="26"/>
        </w:rPr>
        <w:t xml:space="preserve">Step 3: Find the Pain Points</w:t>
      </w:r>
    </w:p>
    <w:p>
      <w:pPr>
        <w:spacing w:after="120"/>
        <w:jc w:val="left"/>
      </w:pPr>
      <w:r>
        <w:rPr>
          <w:rFonts w:ascii="Arial" w:cs="Arial" w:eastAsia="Arial" w:hAnsi="Arial"/>
          <w:b w:val="false"/>
          <w:bCs w:val="false"/>
          <w:i w:val="false"/>
          <w:iCs w:val="false"/>
          <w:color w:val="000000"/>
          <w:sz w:val="22"/>
          <w:szCs w:val="22"/>
        </w:rPr>
        <w:t xml:space="preserve">Where do people lose money, waste time, miss deadlines, or get fined? Those are the workers. A GC loses $50,000 because a lien waiver was missed — that’s the Construction Draw worker. An investor misses a covenant violation — that’s the Debt Service worker. Every worker solves a specific, expensive problem.</w:t>
      </w:r>
    </w:p>
    <w:p>
      <w:pPr>
        <w:pStyle w:val="Heading2"/>
        <w:spacing w:before="300" w:after="150"/>
      </w:pPr>
      <w:r>
        <w:rPr>
          <w:rFonts w:ascii="Arial" w:cs="Arial" w:eastAsia="Arial" w:hAnsi="Arial"/>
          <w:b/>
          <w:bCs/>
          <w:color w:val="2C5F2D"/>
          <w:sz w:val="26"/>
          <w:szCs w:val="26"/>
        </w:rPr>
        <w:t xml:space="preserve">Step 4: Design the Data Flow</w:t>
      </w:r>
    </w:p>
    <w:p>
      <w:pPr>
        <w:spacing w:after="120"/>
        <w:jc w:val="left"/>
      </w:pPr>
      <w:r>
        <w:rPr>
          <w:rFonts w:ascii="Arial" w:cs="Arial" w:eastAsia="Arial" w:hAnsi="Arial"/>
          <w:b w:val="false"/>
          <w:bCs w:val="false"/>
          <w:i w:val="false"/>
          <w:iCs w:val="false"/>
          <w:color w:val="000000"/>
          <w:sz w:val="22"/>
          <w:szCs w:val="22"/>
        </w:rPr>
        <w:t xml:space="preserve">Workers don’t operate in isolation. The Construction Manager’s budget feeds the Construction Draw worker’s schedule of values, which feeds the Construction Lending worker’s utilization dashboard. We map every data connection through the Vault before we build anything. This is what creates the network effect — each worker makes the others more valuable.</w:t>
      </w:r>
    </w:p>
    <w:p>
      <w:pPr>
        <w:pStyle w:val="Heading2"/>
        <w:spacing w:before="300" w:after="150"/>
      </w:pPr>
      <w:r>
        <w:rPr>
          <w:rFonts w:ascii="Arial" w:cs="Arial" w:eastAsia="Arial" w:hAnsi="Arial"/>
          <w:b/>
          <w:bCs/>
          <w:color w:val="2C5F2D"/>
          <w:sz w:val="26"/>
          <w:szCs w:val="26"/>
        </w:rPr>
        <w:t xml:space="preserve">Step 5: Build, Test, Deploy</w:t>
      </w:r>
    </w:p>
    <w:p>
      <w:pPr>
        <w:spacing w:after="120"/>
        <w:jc w:val="left"/>
      </w:pPr>
      <w:r>
        <w:rPr>
          <w:rFonts w:ascii="Arial" w:cs="Arial" w:eastAsia="Arial" w:hAnsi="Arial"/>
          <w:b w:val="false"/>
          <w:bCs w:val="false"/>
          <w:i w:val="false"/>
          <w:iCs w:val="false"/>
          <w:color w:val="000000"/>
          <w:sz w:val="22"/>
          <w:szCs w:val="22"/>
        </w:rPr>
        <w:t xml:space="preserve">Each worker gets a full specification: system prompt, compliance rules, input/output schemas, document templates, Vault data contracts, referral triggers, Alex registration, and landing page copy. Then we build, test with real-world scenarios, and deploy.</w:t>
      </w:r>
    </w:p>
    <w:p>
      <w:pPr>
        <w:pStyle w:val="Heading2"/>
        <w:spacing w:before="300" w:after="150"/>
      </w:pPr>
      <w:r>
        <w:rPr>
          <w:rFonts w:ascii="Arial" w:cs="Arial" w:eastAsia="Arial" w:hAnsi="Arial"/>
          <w:b/>
          <w:bCs/>
          <w:color w:val="2C5F2D"/>
          <w:sz w:val="26"/>
          <w:szCs w:val="26"/>
        </w:rPr>
        <w:t xml:space="preserve">Case Study: Real Estate Development</w:t>
      </w:r>
    </w:p>
    <w:p>
      <w:pPr>
        <w:spacing w:after="120"/>
        <w:jc w:val="left"/>
      </w:pPr>
      <w:r>
        <w:rPr>
          <w:rFonts w:ascii="Arial" w:cs="Arial" w:eastAsia="Arial" w:hAnsi="Arial"/>
          <w:b w:val="false"/>
          <w:bCs w:val="false"/>
          <w:i w:val="false"/>
          <w:iCs w:val="false"/>
          <w:color w:val="000000"/>
          <w:sz w:val="22"/>
          <w:szCs w:val="22"/>
        </w:rPr>
        <w:t xml:space="preserve">Our first vertical is real estate development and construction. We mapped the full lifecycle from site selection through disposition and identified 52 Digital Workers across 8 phases. Four workers are complete with deep specifications. Two are live. The full catalog covers every role on a development project — the analyst, the lender, the GC, the inspector, the property manager, the tax advisor.</w:t>
      </w:r>
    </w:p>
    <w:p>
      <w:pPr>
        <w:spacing w:after="120"/>
        <w:jc w:val="left"/>
      </w:pPr>
      <w:r>
        <w:rPr>
          <w:rFonts w:ascii="Arial" w:cs="Arial" w:eastAsia="Arial" w:hAnsi="Arial"/>
          <w:b w:val="false"/>
          <w:bCs w:val="false"/>
          <w:i w:val="false"/>
          <w:iCs w:val="false"/>
          <w:color w:val="000000"/>
          <w:sz w:val="22"/>
          <w:szCs w:val="22"/>
        </w:rPr>
        <w:t xml:space="preserve">Bundle pricing: a general contractor gets 9 construction workers for ~$630/month. An investor gets the full financing stack for ~$740/month. An institutional player gets all 52 workers for ~$3,200/month — replacing $50,000+ in monthly consultant fees. That’s a 94% cost reduction.</w:t>
      </w:r>
    </w:p>
    <w:p>
      <w:pPr>
        <w:pStyle w:val="Heading1"/>
        <w:spacing w:before="400" w:after="200"/>
      </w:pPr>
      <w:r>
        <w:rPr>
          <w:rFonts w:ascii="Arial" w:cs="Arial" w:eastAsia="Arial" w:hAnsi="Arial"/>
          <w:b/>
          <w:bCs/>
          <w:color w:val="1E2761"/>
          <w:sz w:val="32"/>
          <w:szCs w:val="32"/>
        </w:rPr>
        <w:t xml:space="preserve">5. Why We Win</w:t>
      </w:r>
    </w:p>
    <w:p>
      <w:pPr>
        <w:spacing w:after="120"/>
        <w:jc w:val="left"/>
      </w:pPr>
      <w:r>
        <w:rPr>
          <w:rFonts w:ascii="Arial" w:cs="Arial" w:eastAsia="Arial" w:hAnsi="Arial"/>
          <w:b w:val="false"/>
          <w:bCs w:val="false"/>
          <w:i w:val="false"/>
          <w:iCs w:val="false"/>
          <w:color w:val="000000"/>
          <w:sz w:val="22"/>
          <w:szCs w:val="22"/>
        </w:rPr>
        <w:t xml:space="preserve">In the age of AI, technology isn’t a moat. Someone can clone any interface in a weekend. Our advantage is the combination of four things that compound over time:</w:t>
      </w:r>
    </w:p>
    <w:p>
      <w:pPr>
        <w:pStyle w:val="Heading2"/>
        <w:spacing w:before="300" w:after="150"/>
      </w:pPr>
      <w:r>
        <w:rPr>
          <w:rFonts w:ascii="Arial" w:cs="Arial" w:eastAsia="Arial" w:hAnsi="Arial"/>
          <w:b/>
          <w:bCs/>
          <w:color w:val="2C5F2D"/>
          <w:sz w:val="26"/>
          <w:szCs w:val="26"/>
        </w:rPr>
        <w:t xml:space="preserve">Network Effects</w:t>
      </w:r>
    </w:p>
    <w:p>
      <w:pPr>
        <w:spacing w:after="120"/>
        <w:jc w:val="left"/>
      </w:pPr>
      <w:r>
        <w:rPr>
          <w:rFonts w:ascii="Arial" w:cs="Arial" w:eastAsia="Arial" w:hAnsi="Arial"/>
          <w:b w:val="false"/>
          <w:bCs w:val="false"/>
          <w:i w:val="false"/>
          <w:iCs w:val="false"/>
          <w:color w:val="000000"/>
          <w:sz w:val="22"/>
          <w:szCs w:val="22"/>
        </w:rPr>
        <w:t xml:space="preserve">Every worker that gets created makes the platform more valuable. Every company that uses a worker generates data that makes other workers smarter. An investor’s lending worker is more valuable because the builder’s draw worker feeds it data through the Vault. Nobody gets that network by launching a competing platform — they get an empty room.</w:t>
      </w:r>
    </w:p>
    <w:p>
      <w:pPr>
        <w:pStyle w:val="Heading2"/>
        <w:spacing w:before="300" w:after="150"/>
      </w:pPr>
      <w:r>
        <w:rPr>
          <w:rFonts w:ascii="Arial" w:cs="Arial" w:eastAsia="Arial" w:hAnsi="Arial"/>
          <w:b/>
          <w:bCs/>
          <w:color w:val="2C5F2D"/>
          <w:sz w:val="26"/>
          <w:szCs w:val="26"/>
        </w:rPr>
        <w:t xml:space="preserve">Switching Costs</w:t>
      </w:r>
    </w:p>
    <w:p>
      <w:pPr>
        <w:spacing w:after="120"/>
        <w:jc w:val="left"/>
      </w:pPr>
      <w:r>
        <w:rPr>
          <w:rFonts w:ascii="Arial" w:cs="Arial" w:eastAsia="Arial" w:hAnsi="Arial"/>
          <w:b w:val="false"/>
          <w:bCs w:val="false"/>
          <w:i w:val="false"/>
          <w:iCs w:val="false"/>
          <w:color w:val="000000"/>
          <w:sz w:val="22"/>
          <w:szCs w:val="22"/>
        </w:rPr>
        <w:t xml:space="preserve">Once a company has six months of operational data in the Vault — budgets, draw history, inspection records, compliance logs — switching means leaving that history behind. When their lender is also on TitleApp, switching costs double. You’d have to convince both sides to move. That’s the Salesforce effect.</w:t>
      </w:r>
    </w:p>
    <w:p>
      <w:pPr>
        <w:pStyle w:val="Heading2"/>
        <w:spacing w:before="300" w:after="150"/>
      </w:pPr>
      <w:r>
        <w:rPr>
          <w:rFonts w:ascii="Arial" w:cs="Arial" w:eastAsia="Arial" w:hAnsi="Arial"/>
          <w:b/>
          <w:bCs/>
          <w:color w:val="2C5F2D"/>
          <w:sz w:val="26"/>
          <w:szCs w:val="26"/>
        </w:rPr>
        <w:t xml:space="preserve">Provenance IP</w:t>
      </w:r>
    </w:p>
    <w:p>
      <w:pPr>
        <w:spacing w:after="120"/>
        <w:jc w:val="left"/>
      </w:pPr>
      <w:r>
        <w:rPr>
          <w:rFonts w:ascii="Arial" w:cs="Arial" w:eastAsia="Arial" w:hAnsi="Arial"/>
          <w:b w:val="false"/>
          <w:bCs w:val="false"/>
          <w:i w:val="false"/>
          <w:iCs w:val="false"/>
          <w:color w:val="000000"/>
          <w:sz w:val="22"/>
          <w:szCs w:val="22"/>
        </w:rPr>
        <w:t xml:space="preserve">Every record on TitleApp can be minted to a tamper-proof audit trail. This isn’t a feature — it’s a legal instrument. In regulated industries, the ability to prove chain of custody on every record has real legal weight. Our blockchain patents protect this capability.</w:t>
      </w:r>
    </w:p>
    <w:p>
      <w:pPr>
        <w:pStyle w:val="Heading2"/>
        <w:spacing w:before="300" w:after="150"/>
      </w:pPr>
      <w:r>
        <w:rPr>
          <w:rFonts w:ascii="Arial" w:cs="Arial" w:eastAsia="Arial" w:hAnsi="Arial"/>
          <w:b/>
          <w:bCs/>
          <w:color w:val="2C5F2D"/>
          <w:sz w:val="26"/>
          <w:szCs w:val="26"/>
        </w:rPr>
        <w:t xml:space="preserve">Catalog Depth</w:t>
      </w:r>
    </w:p>
    <w:p>
      <w:pPr>
        <w:spacing w:after="120"/>
        <w:jc w:val="left"/>
      </w:pPr>
      <w:r>
        <w:rPr>
          <w:rFonts w:ascii="Arial" w:cs="Arial" w:eastAsia="Arial" w:hAnsi="Arial"/>
          <w:b w:val="false"/>
          <w:bCs w:val="false"/>
          <w:i w:val="false"/>
          <w:iCs w:val="false"/>
          <w:color w:val="000000"/>
          <w:sz w:val="22"/>
          <w:szCs w:val="22"/>
        </w:rPr>
        <w:t xml:space="preserve">52 workers that talk to each other through a shared data layer. A competitor can clone one worker. Cloning 52 workers with cross-worker Vault contracts, referral triggers, and Alex orchestration is a multi-year effort. And by then we’ll have 200.</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200"/>
        <w:gridCol w:w="1200"/>
      </w:tblGrid>
      <w:tr>
        <w:tc>
          <w:tcPr>
            <w:tcW w:type="dxa" w:w="22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2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TitleApp</w:t>
            </w:r>
          </w:p>
        </w:tc>
        <w:tc>
          <w:tcPr>
            <w:tcW w:type="dxa" w:w="12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Palantir</w:t>
            </w:r>
          </w:p>
        </w:tc>
        <w:tc>
          <w:tcPr>
            <w:tcW w:type="dxa" w:w="12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Copilot</w:t>
            </w:r>
          </w:p>
        </w:tc>
        <w:tc>
          <w:tcPr>
            <w:tcW w:type="dxa" w:w="12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Harvey</w:t>
            </w:r>
          </w:p>
        </w:tc>
        <w:tc>
          <w:tcPr>
            <w:tcW w:type="dxa" w:w="12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CrewAI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Rules-governed AI</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Tamper-proof audit trail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No-code builder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Cross-worker data flow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Creator marketplace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Accessible pricing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bl>
    <w:p>
      <w:pPr>
        <w:pStyle w:val="Heading1"/>
        <w:spacing w:before="400" w:after="200"/>
      </w:pPr>
      <w:r>
        <w:rPr>
          <w:rFonts w:ascii="Arial" w:cs="Arial" w:eastAsia="Arial" w:hAnsi="Arial"/>
          <w:b/>
          <w:bCs/>
          <w:color w:val="1E2761"/>
          <w:sz w:val="32"/>
          <w:szCs w:val="32"/>
        </w:rPr>
        <w:t xml:space="preserve">6. Business Model</w:t>
      </w:r>
    </w:p>
    <w:p>
      <w:pPr>
        <w:pStyle w:val="Heading2"/>
        <w:spacing w:before="300" w:after="150"/>
      </w:pPr>
      <w:r>
        <w:rPr>
          <w:rFonts w:ascii="Arial" w:cs="Arial" w:eastAsia="Arial" w:hAnsi="Arial"/>
          <w:b/>
          <w:bCs/>
          <w:color w:val="2C5F2D"/>
          <w:sz w:val="26"/>
          <w:szCs w:val="26"/>
        </w:rPr>
        <w:t xml:space="preserve">Today: Subscriptions That Fund the Network</w:t>
      </w:r>
    </w:p>
    <w:p>
      <w:pPr>
        <w:spacing w:after="120"/>
        <w:jc w:val="left"/>
      </w:pPr>
      <w:r>
        <w:rPr>
          <w:rFonts w:ascii="Arial" w:cs="Arial" w:eastAsia="Arial" w:hAnsi="Arial"/>
          <w:b w:val="false"/>
          <w:bCs w:val="false"/>
          <w:i w:val="false"/>
          <w:iCs w:val="false"/>
          <w:color w:val="000000"/>
          <w:sz w:val="22"/>
          <w:szCs w:val="22"/>
        </w:rPr>
        <w:t xml:space="preserve">Businesses subscribe to Digital Workers at $29–$99/month each. Domain experts build workers in the Sandbox and earn 75% of subscription revenue. TitleApp earns 25%. Additional revenue from token-based AI usage and Creator License fees ($49/year).</w:t>
      </w:r>
    </w:p>
    <w:p>
      <w:pPr>
        <w:spacing w:after="120"/>
        <w:jc w:val="left"/>
      </w:pPr>
      <w:r>
        <w:rPr>
          <w:rFonts w:ascii="Arial" w:cs="Arial" w:eastAsia="Arial" w:hAnsi="Arial"/>
          <w:b w:val="false"/>
          <w:bCs w:val="false"/>
          <w:i w:val="false"/>
          <w:iCs w:val="false"/>
          <w:color w:val="000000"/>
          <w:sz w:val="22"/>
          <w:szCs w:val="22"/>
        </w:rPr>
        <w:t xml:space="preserve">This model works. It funds development, proves product-market fit, and builds user density. But we’re building for what comes next.</w:t>
      </w:r>
    </w:p>
    <w:p>
      <w:pPr>
        <w:pStyle w:val="Heading2"/>
        <w:spacing w:before="300" w:after="150"/>
      </w:pPr>
      <w:r>
        <w:rPr>
          <w:rFonts w:ascii="Arial" w:cs="Arial" w:eastAsia="Arial" w:hAnsi="Arial"/>
          <w:b/>
          <w:bCs/>
          <w:color w:val="2C5F2D"/>
          <w:sz w:val="26"/>
          <w:szCs w:val="26"/>
        </w:rPr>
        <w:t xml:space="preserve">Tomorrow: The Platform Earns When Value Is Created</w:t>
      </w:r>
    </w:p>
    <w:p>
      <w:pPr>
        <w:spacing w:after="120"/>
        <w:jc w:val="left"/>
      </w:pPr>
      <w:r>
        <w:rPr>
          <w:rFonts w:ascii="Arial" w:cs="Arial" w:eastAsia="Arial" w:hAnsi="Arial"/>
          <w:b w:val="false"/>
          <w:bCs w:val="false"/>
          <w:i w:val="false"/>
          <w:iCs w:val="false"/>
          <w:color w:val="000000"/>
          <w:sz w:val="22"/>
          <w:szCs w:val="22"/>
        </w:rPr>
        <w:t xml:space="preserve">The cost of software is going to zero. AI makes it trivial to build interfaces. Subscription fees will face relentless downward pressure across every SaaS category. Companies that only sell software subscriptions will race to the bottom.</w:t>
      </w:r>
    </w:p>
    <w:p>
      <w:pPr>
        <w:spacing w:after="120"/>
        <w:jc w:val="left"/>
      </w:pPr>
      <w:r>
        <w:rPr>
          <w:rFonts w:ascii="Arial" w:cs="Arial" w:eastAsia="Arial" w:hAnsi="Arial"/>
          <w:b w:val="false"/>
          <w:bCs w:val="false"/>
          <w:i w:val="false"/>
          <w:iCs w:val="false"/>
          <w:color w:val="000000"/>
          <w:sz w:val="22"/>
          <w:szCs w:val="22"/>
        </w:rPr>
        <w:t xml:space="preserve">TitleApp isn’t selling software. We’re selling outcomes in regulated environments. The value isn’t the interface — it’s that the draw got funded, the covenant didn’t get violated, the deal closed clean. That’s measurable economic value, and it doesn’t go to zero.</w:t>
      </w:r>
    </w:p>
    <w:p>
      <w:pPr>
        <w:spacing w:after="120"/>
        <w:jc w:val="left"/>
      </w:pPr>
      <w:r>
        <w:rPr>
          <w:rFonts w:ascii="Arial" w:cs="Arial" w:eastAsia="Arial" w:hAnsi="Arial"/>
          <w:b w:val="false"/>
          <w:bCs w:val="false"/>
          <w:i w:val="false"/>
          <w:iCs w:val="false"/>
          <w:color w:val="000000"/>
          <w:sz w:val="22"/>
          <w:szCs w:val="22"/>
        </w:rPr>
        <w:t xml:space="preserve">Our revenue model evolves in three phases:</w:t>
      </w:r>
    </w:p>
    <w:p>
      <w:pPr>
        <w:spacing w:after="120"/>
      </w:pPr>
      <w:r>
        <w:rPr>
          <w:rFonts w:ascii="Arial" w:cs="Arial" w:eastAsia="Arial" w:hAnsi="Arial"/>
          <w:b/>
          <w:bCs/>
          <w:i w:val="false"/>
          <w:iCs w:val="false"/>
          <w:color w:val="000000"/>
          <w:sz w:val="22"/>
          <w:szCs w:val="22"/>
        </w:rPr>
        <w:t xml:space="preserve">Phase 1 (now through Month 18): </w:t>
      </w:r>
      <w:r>
        <w:rPr>
          <w:rFonts w:ascii="Arial" w:cs="Arial" w:eastAsia="Arial" w:hAnsi="Arial"/>
          <w:b w:val="false"/>
          <w:bCs w:val="false"/>
          <w:i w:val="false"/>
          <w:iCs w:val="false"/>
          <w:color w:val="000000"/>
          <w:sz w:val="22"/>
          <w:szCs w:val="22"/>
        </w:rPr>
        <w:t xml:space="preserve">Pure SaaS subscriptions. $29–99/month per worker. This funds development and proves product-market fit.</w:t>
      </w:r>
    </w:p>
    <w:p>
      <w:pPr>
        <w:spacing w:after="120"/>
      </w:pPr>
      <w:r>
        <w:rPr>
          <w:rFonts w:ascii="Arial" w:cs="Arial" w:eastAsia="Arial" w:hAnsi="Arial"/>
          <w:b/>
          <w:bCs/>
          <w:i w:val="false"/>
          <w:iCs w:val="false"/>
          <w:color w:val="000000"/>
          <w:sz w:val="22"/>
          <w:szCs w:val="22"/>
        </w:rPr>
        <w:t xml:space="preserve">Phase 2 (Month 18–36): </w:t>
      </w:r>
      <w:r>
        <w:rPr>
          <w:rFonts w:ascii="Arial" w:cs="Arial" w:eastAsia="Arial" w:hAnsi="Arial"/>
          <w:b w:val="false"/>
          <w:bCs w:val="false"/>
          <w:i w:val="false"/>
          <w:iCs w:val="false"/>
          <w:color w:val="000000"/>
          <w:sz w:val="22"/>
          <w:szCs w:val="22"/>
        </w:rPr>
        <w:t xml:space="preserve">Hybrid model. Subscriptions plus transaction fees on high-value outcomes (draws processed, deals closed, compliance certifications). Verification fees on blockchain-minted records. Subscriptions become 60% of revenue, transactions 40%.</w:t>
      </w:r>
    </w:p>
    <w:p>
      <w:pPr>
        <w:spacing w:after="120"/>
      </w:pPr>
      <w:r>
        <w:rPr>
          <w:rFonts w:ascii="Arial" w:cs="Arial" w:eastAsia="Arial" w:hAnsi="Arial"/>
          <w:b/>
          <w:bCs/>
          <w:i w:val="false"/>
          <w:iCs w:val="false"/>
          <w:color w:val="000000"/>
          <w:sz w:val="22"/>
          <w:szCs w:val="22"/>
        </w:rPr>
        <w:t xml:space="preserve">Phase 3 (Month 36+): </w:t>
      </w:r>
      <w:r>
        <w:rPr>
          <w:rFonts w:ascii="Arial" w:cs="Arial" w:eastAsia="Arial" w:hAnsi="Arial"/>
          <w:b w:val="false"/>
          <w:bCs w:val="false"/>
          <w:i w:val="false"/>
          <w:iCs w:val="false"/>
          <w:color w:val="000000"/>
          <w:sz w:val="22"/>
          <w:szCs w:val="22"/>
        </w:rPr>
        <w:t xml:space="preserve">Network model. Low-cost or free platform access to maximize adoption. Revenue from transactions, provenance verification, and cross-company Vault connections. A single user processing $50M in deals per year at 10 basis points generates $50,000 in transaction revenue — versus $8,880 in annual subscriptions. That’s 5.6x higher per-user revenue.</w:t>
      </w:r>
    </w:p>
    <w:p>
      <w:pPr>
        <w:spacing w:after="120"/>
      </w:pPr>
      <w:r>
        <w:rPr>
          <w:rFonts w:ascii="Arial" w:cs="Arial" w:eastAsia="Arial" w:hAnsi="Arial"/>
          <w:b/>
          <w:bCs/>
          <w:i w:val="false"/>
          <w:iCs w:val="false"/>
          <w:color w:val="2C5F2D"/>
          <w:sz w:val="22"/>
          <w:szCs w:val="22"/>
        </w:rPr>
        <w:t xml:space="preserve">The strategic insight: </w:t>
      </w:r>
      <w:r>
        <w:rPr>
          <w:rFonts w:ascii="Arial" w:cs="Arial" w:eastAsia="Arial" w:hAnsi="Arial"/>
          <w:b w:val="false"/>
          <w:bCs w:val="false"/>
          <w:i w:val="false"/>
          <w:iCs w:val="false"/>
          <w:color w:val="2C5F2D"/>
          <w:sz w:val="22"/>
          <w:szCs w:val="22"/>
        </w:rPr>
        <w:t xml:space="preserve">If subscriptions survive, we survive. If they die, we thrive. Killing our own subscription model is how we 10x revenue, because the network model’s ceiling is measured by value transacted, not seats sold.</w:t>
      </w:r>
    </w:p>
    <w:p>
      <w:pPr>
        <w:pStyle w:val="Heading1"/>
        <w:spacing w:before="400" w:after="200"/>
      </w:pPr>
      <w:r>
        <w:rPr>
          <w:rFonts w:ascii="Arial" w:cs="Arial" w:eastAsia="Arial" w:hAnsi="Arial"/>
          <w:b/>
          <w:bCs/>
          <w:color w:val="1E2761"/>
          <w:sz w:val="32"/>
          <w:szCs w:val="32"/>
        </w:rPr>
        <w:t xml:space="preserve">7. Market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c>
          <w:tcPr>
            <w:tcW w:type="dxa" w:w="15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Market</w:t>
            </w:r>
          </w:p>
        </w:tc>
        <w:tc>
          <w:tcPr>
            <w:tcW w:type="dxa" w:w="15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63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$435B+</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Compliance software + AI services + industry automation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$94B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Eight initial verticals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$128M</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Conservative 5-year, bottom-up across segments</w:t>
            </w:r>
          </w:p>
        </w:tc>
      </w:tr>
    </w:tbl>
    <w:p>
      <w:pPr>
        <w:spacing w:after="80"/>
      </w:pPr>
    </w:p>
    <w:p>
      <w:pPr>
        <w:spacing w:after="120"/>
        <w:jc w:val="left"/>
      </w:pPr>
      <w:r>
        <w:rPr>
          <w:rFonts w:ascii="Arial" w:cs="Arial" w:eastAsia="Arial" w:hAnsi="Arial"/>
          <w:b w:val="false"/>
          <w:bCs w:val="false"/>
          <w:i w:val="false"/>
          <w:iCs w:val="false"/>
          <w:color w:val="000000"/>
          <w:sz w:val="22"/>
          <w:szCs w:val="22"/>
        </w:rPr>
        <w:t xml:space="preserve">Eight initial segments: auto dealers, real estate, mortgage, aviation, healthcare, investment management, gig/SMB, and DIY creators. Our first deep vertical (construction/development, 52 workers) demonstrates the playbook we’ll replicate across every segment.</w:t>
      </w:r>
    </w:p>
    <w:p>
      <w:pPr>
        <w:pStyle w:val="Heading1"/>
        <w:spacing w:before="400" w:after="200"/>
      </w:pPr>
      <w:r>
        <w:rPr>
          <w:rFonts w:ascii="Arial" w:cs="Arial" w:eastAsia="Arial" w:hAnsi="Arial"/>
          <w:b/>
          <w:bCs/>
          <w:color w:val="1E2761"/>
          <w:sz w:val="32"/>
          <w:szCs w:val="32"/>
        </w:rPr>
        <w:t xml:space="preserve">8. Go-to-Market</w:t>
      </w:r>
    </w:p>
    <w:p>
      <w:pPr>
        <w:pStyle w:val="Heading2"/>
        <w:spacing w:before="300" w:after="150"/>
      </w:pPr>
      <w:r>
        <w:rPr>
          <w:rFonts w:ascii="Arial" w:cs="Arial" w:eastAsia="Arial" w:hAnsi="Arial"/>
          <w:b/>
          <w:bCs/>
          <w:color w:val="2C5F2D"/>
          <w:sz w:val="26"/>
          <w:szCs w:val="26"/>
        </w:rPr>
        <w:t xml:space="preserve">Phase 1: Now</w:t>
      </w:r>
    </w:p>
    <w:p>
      <w:pPr>
        <w:spacing w:after="120"/>
        <w:jc w:val="left"/>
      </w:pPr>
      <w:r>
        <w:rPr>
          <w:rFonts w:ascii="Arial" w:cs="Arial" w:eastAsia="Arial" w:hAnsi="Arial"/>
          <w:b w:val="false"/>
          <w:bCs w:val="false"/>
          <w:i w:val="false"/>
          <w:iCs w:val="false"/>
          <w:color w:val="000000"/>
          <w:sz w:val="22"/>
          <w:szCs w:val="22"/>
        </w:rPr>
        <w:t xml:space="preserve">Platform-seeded Digital Workers across auto dealers, real estate, and gig economy. LinkedIn B2B targeting dealer principals, title officers, and construction professionals. TikTok creator acquisition. Two to four new workers published daily.</w:t>
      </w:r>
    </w:p>
    <w:p>
      <w:pPr>
        <w:pStyle w:val="Heading2"/>
        <w:spacing w:before="300" w:after="150"/>
      </w:pPr>
      <w:r>
        <w:rPr>
          <w:rFonts w:ascii="Arial" w:cs="Arial" w:eastAsia="Arial" w:hAnsi="Arial"/>
          <w:b/>
          <w:bCs/>
          <w:color w:val="2C5F2D"/>
          <w:sz w:val="26"/>
          <w:szCs w:val="26"/>
        </w:rPr>
        <w:t xml:space="preserve">Phase 2: Mid-term</w:t>
      </w:r>
    </w:p>
    <w:p>
      <w:pPr>
        <w:spacing w:after="120"/>
        <w:jc w:val="left"/>
      </w:pPr>
      <w:r>
        <w:rPr>
          <w:rFonts w:ascii="Arial" w:cs="Arial" w:eastAsia="Arial" w:hAnsi="Arial"/>
          <w:b w:val="false"/>
          <w:bCs w:val="false"/>
          <w:i w:val="false"/>
          <w:iCs w:val="false"/>
          <w:color w:val="000000"/>
          <w:sz w:val="22"/>
          <w:szCs w:val="22"/>
        </w:rPr>
        <w:t xml:space="preserve">Deep verticals: real estate development (52 workers), aviation, healthcare, mortgage. Industry partnerships with trade associations (NAHB, NAR, AOPA). Embeddable Digital Workers via widget and API.</w:t>
      </w:r>
    </w:p>
    <w:p>
      <w:pPr>
        <w:pStyle w:val="Heading2"/>
        <w:spacing w:before="300" w:after="150"/>
      </w:pPr>
      <w:r>
        <w:rPr>
          <w:rFonts w:ascii="Arial" w:cs="Arial" w:eastAsia="Arial" w:hAnsi="Arial"/>
          <w:b/>
          <w:bCs/>
          <w:color w:val="2C5F2D"/>
          <w:sz w:val="26"/>
          <w:szCs w:val="26"/>
        </w:rPr>
        <w:t xml:space="preserve">Phase 3: Long-term</w:t>
      </w:r>
    </w:p>
    <w:p>
      <w:pPr>
        <w:spacing w:after="120"/>
        <w:jc w:val="left"/>
      </w:pPr>
      <w:r>
        <w:rPr>
          <w:rFonts w:ascii="Arial" w:cs="Arial" w:eastAsia="Arial" w:hAnsi="Arial"/>
          <w:b w:val="false"/>
          <w:bCs w:val="false"/>
          <w:i w:val="false"/>
          <w:iCs w:val="false"/>
          <w:color w:val="000000"/>
          <w:sz w:val="22"/>
          <w:szCs w:val="22"/>
        </w:rPr>
        <w:t xml:space="preserve">Government infrastructure, securities compliance, international expansion. Platform API and AI app store integrations.</w:t>
      </w:r>
    </w:p>
    <w:p>
      <w:pPr>
        <w:pStyle w:val="Heading2"/>
        <w:spacing w:before="300" w:after="150"/>
      </w:pPr>
      <w:r>
        <w:rPr>
          <w:rFonts w:ascii="Arial" w:cs="Arial" w:eastAsia="Arial" w:hAnsi="Arial"/>
          <w:b/>
          <w:bCs/>
          <w:color w:val="2C5F2D"/>
          <w:sz w:val="26"/>
          <w:szCs w:val="26"/>
        </w:rPr>
        <w:t xml:space="preserve">Distribution</w:t>
      </w:r>
    </w:p>
    <w:p>
      <w:pPr>
        <w:spacing w:after="120"/>
        <w:jc w:val="left"/>
      </w:pPr>
      <w:r>
        <w:rPr>
          <w:rFonts w:ascii="Arial" w:cs="Arial" w:eastAsia="Arial" w:hAnsi="Arial"/>
          <w:b w:val="false"/>
          <w:bCs w:val="false"/>
          <w:i w:val="false"/>
          <w:iCs w:val="false"/>
          <w:color w:val="000000"/>
          <w:sz w:val="22"/>
          <w:szCs w:val="22"/>
        </w:rPr>
        <w:t xml:space="preserve">Six channels: creator-led distribution (75% revenue share motivates organic promotion), embeddable workers (Stripe model — embed anywhere), TitleApp marketplace with Alex-powered discovery, competitive pressure in early verticals, industry partnerships, and platform API integrations.</w:t>
      </w:r>
    </w:p>
    <w:p>
      <w:pPr>
        <w:pStyle w:val="Heading1"/>
        <w:spacing w:before="400" w:after="200"/>
      </w:pPr>
      <w:r>
        <w:rPr>
          <w:rFonts w:ascii="Arial" w:cs="Arial" w:eastAsia="Arial" w:hAnsi="Arial"/>
          <w:b/>
          <w:bCs/>
          <w:color w:val="1E2761"/>
          <w:sz w:val="32"/>
          <w:szCs w:val="32"/>
        </w:rPr>
        <w:t xml:space="preserve">9.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5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58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Background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Sean Lee Combs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CEO</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$1.5B+ raised. Multiple patents. Airline and medevac pilot.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Kent Redwine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CFO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$20B+ M&amp;A. 19yr Climate Tech. Enterprise GTM.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Kim Ellen Bennett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Advisor</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GovTech and Real Estate.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Vishal Kumar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years. Platform UI/UX.</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Manpreet Kaur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Backend</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 years. Infrastructure and API.</w:t>
            </w:r>
          </w:p>
        </w:tc>
      </w:tr>
    </w:tbl>
    <w:p>
      <w:pPr>
        <w:spacing w:after="80"/>
      </w:pPr>
    </w:p>
    <w:p>
      <w:pPr>
        <w:spacing w:after="120"/>
      </w:pPr>
      <w:r>
        <w:rPr>
          <w:rFonts w:ascii="Arial" w:cs="Arial" w:eastAsia="Arial" w:hAnsi="Arial"/>
          <w:b/>
          <w:bCs/>
          <w:i w:val="false"/>
          <w:iCs w:val="false"/>
          <w:color w:val="000000"/>
          <w:sz w:val="22"/>
          <w:szCs w:val="22"/>
        </w:rPr>
        <w:t xml:space="preserve">Advisors: </w:t>
      </w:r>
      <w:r>
        <w:rPr>
          <w:rFonts w:ascii="Arial" w:cs="Arial" w:eastAsia="Arial" w:hAnsi="Arial"/>
          <w:b w:val="false"/>
          <w:bCs w:val="false"/>
          <w:i w:val="false"/>
          <w:iCs w:val="false"/>
          <w:color w:val="000000"/>
          <w:sz w:val="22"/>
          <w:szCs w:val="22"/>
        </w:rPr>
        <w:t xml:space="preserve">Scott Eschelman (BUILD SF, $500M+ RE capital, Stanford). Peggy Liu (WEF Young Global Leader, Time Hero of Environment, MIT).</w:t>
      </w:r>
    </w:p>
    <w:p>
      <w:pPr>
        <w:spacing w:after="120"/>
      </w:pPr>
      <w:r>
        <w:rPr>
          <w:rFonts w:ascii="Arial" w:cs="Arial" w:eastAsia="Arial" w:hAnsi="Arial"/>
          <w:b/>
          <w:bCs/>
          <w:i w:val="false"/>
          <w:iCs w:val="false"/>
          <w:color w:val="000000"/>
          <w:sz w:val="22"/>
          <w:szCs w:val="22"/>
        </w:rPr>
        <w:t xml:space="preserve">AI Development: </w:t>
      </w:r>
      <w:r>
        <w:rPr>
          <w:rFonts w:ascii="Arial" w:cs="Arial" w:eastAsia="Arial" w:hAnsi="Arial"/>
          <w:b w:val="false"/>
          <w:bCs w:val="false"/>
          <w:i w:val="false"/>
          <w:iCs w:val="false"/>
          <w:color w:val="000000"/>
          <w:sz w:val="22"/>
          <w:szCs w:val="22"/>
        </w:rPr>
        <w:t xml:space="preserve">Multi-model architecture (Claude, OpenAI, Gemini) for resilience and capability matching.</w:t>
      </w:r>
    </w:p>
    <w:p>
      <w:pPr>
        <w:pStyle w:val="Heading1"/>
        <w:spacing w:before="400" w:after="200"/>
      </w:pPr>
      <w:r>
        <w:rPr>
          <w:rFonts w:ascii="Arial" w:cs="Arial" w:eastAsia="Arial" w:hAnsi="Arial"/>
          <w:b/>
          <w:bCs/>
          <w:color w:val="1E2761"/>
          <w:sz w:val="32"/>
          <w:szCs w:val="32"/>
        </w:rPr>
        <w:t xml:space="preserve">10. Financial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Gross raise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$1,070,000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 proceeds (after fees + debt)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$803,000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Monthly burn rate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$27,800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Zero-revenue runway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 months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With early revenue runway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33+ months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Cash-flow positive target (base)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13 (mid-2027)</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Cash-flow positive target (best)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 9 (late 2026)</w:t>
            </w:r>
          </w:p>
        </w:tc>
      </w:tr>
    </w:tbl>
    <w:p>
      <w:pPr>
        <w:spacing w:after="80"/>
      </w:pPr>
    </w:p>
    <w:p>
      <w:pPr>
        <w:pStyle w:val="Heading2"/>
        <w:spacing w:before="300" w:after="150"/>
      </w:pPr>
      <w:r>
        <w:rPr>
          <w:rFonts w:ascii="Arial" w:cs="Arial" w:eastAsia="Arial" w:hAnsi="Arial"/>
          <w:b/>
          <w:bCs/>
          <w:color w:val="2C5F2D"/>
          <w:sz w:val="26"/>
          <w:szCs w:val="26"/>
        </w:rPr>
        <w:t xml:space="preserve">Three-Year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No Revenue</w:t>
            </w:r>
          </w:p>
        </w:tc>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Base Case</w:t>
            </w:r>
          </w:p>
        </w:tc>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Best Case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 12 Subscribers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177</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420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24 Subscribers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687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1,622</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 36 Subscribers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1,289</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3,174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12 ARR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$342K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$812K</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 24 ARR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$1.33M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$3.14M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36 ARR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$2.49M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$6.14M</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 36 Cash</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($524K)</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$2.45M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$6.58M</w:t>
            </w:r>
          </w:p>
        </w:tc>
      </w:tr>
    </w:tbl>
    <w:p>
      <w:pPr>
        <w:spacing w:after="80"/>
      </w:pPr>
    </w:p>
    <w:p>
      <w:pPr>
        <w:spacing w:after="120"/>
        <w:jc w:val="left"/>
      </w:pPr>
      <w:r>
        <w:rPr>
          <w:rFonts w:ascii="Arial" w:cs="Arial" w:eastAsia="Arial" w:hAnsi="Arial"/>
          <w:b w:val="false"/>
          <w:bCs w:val="false"/>
          <w:i w:val="false"/>
          <w:iCs w:val="false"/>
          <w:color w:val="000000"/>
          <w:sz w:val="22"/>
          <w:szCs w:val="22"/>
        </w:rPr>
        <w:t xml:space="preserve">The 52-worker construction vertical is the accelerant. Bundle pricing ($630–$3,200/month) dramatically increases average revenue per account versus individual worker subscriptions.</w:t>
      </w:r>
    </w:p>
    <w:p>
      <w:pPr>
        <w:pStyle w:val="Heading1"/>
        <w:spacing w:before="400" w:after="200"/>
      </w:pPr>
      <w:r>
        <w:rPr>
          <w:rFonts w:ascii="Arial" w:cs="Arial" w:eastAsia="Arial" w:hAnsi="Arial"/>
          <w:b/>
          <w:bCs/>
          <w:color w:val="1E2761"/>
          <w:sz w:val="32"/>
          <w:szCs w:val="32"/>
        </w:rPr>
        <w:t xml:space="preserve">11. The Offering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3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Instrument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Post-Money SAFE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$1,070,000 (Reg CF via Wefunder)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Valuation Cap</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$15,000,000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Discount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Minimum Investment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 Rata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all investors</w:t>
            </w:r>
          </w:p>
        </w:tc>
      </w:tr>
    </w:tbl>
    <w:p>
      <w:pPr>
        <w:spacing w:after="80"/>
      </w:pPr>
    </w:p>
    <w:p>
      <w:pPr>
        <w:pStyle w:val="Heading2"/>
        <w:spacing w:before="300" w:after="150"/>
      </w:pPr>
      <w:r>
        <w:rPr>
          <w:rFonts w:ascii="Arial" w:cs="Arial" w:eastAsia="Arial" w:hAnsi="Arial"/>
          <w:b/>
          <w:bCs/>
          <w:color w:val="2C5F2D"/>
          <w:sz w:val="26"/>
          <w:szCs w:val="26"/>
        </w:rPr>
        <w:t xml:space="preserve">Conversion Scenarios</w:t>
      </w:r>
    </w:p>
    <w:p>
      <w:pPr>
        <w:spacing w:after="120"/>
        <w:jc w:val="left"/>
      </w:pPr>
      <w:r>
        <w:rPr>
          <w:rFonts w:ascii="Arial" w:cs="Arial" w:eastAsia="Arial" w:hAnsi="Arial"/>
          <w:b w:val="false"/>
          <w:bCs w:val="false"/>
          <w:i w:val="false"/>
          <w:iCs w:val="false"/>
          <w:color w:val="000000"/>
          <w:sz w:val="22"/>
          <w:szCs w:val="22"/>
        </w:rPr>
        <w:t xml:space="preserve">Illustrative math based on SAFE terms. Not projections. Early-stage investing carries significant risk including total loss of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Future Valuation</w:t>
            </w:r>
          </w:p>
        </w:tc>
        <w:tc>
          <w:tcPr>
            <w:tcW w:type="dxa" w:w="468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Arial" w:cs="Arial" w:eastAsia="Arial" w:hAnsi="Arial"/>
                <w:b/>
                <w:bCs/>
                <w:color w:val="FFFFFF"/>
                <w:sz w:val="20"/>
                <w:szCs w:val="20"/>
              </w:rPr>
              <w:t xml:space="preserve">Return Multiple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$30M</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3.3x</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$75M</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6.7x</w:t>
            </w:r>
          </w:p>
        </w:tc>
      </w:tr>
    </w:tbl>
    <w:p>
      <w:pPr>
        <w:spacing w:after="80"/>
      </w:pPr>
    </w:p>
    <w:p>
      <w:pPr>
        <w:pStyle w:val="Heading1"/>
        <w:spacing w:before="400" w:after="200"/>
      </w:pPr>
      <w:r>
        <w:rPr>
          <w:rFonts w:ascii="Arial" w:cs="Arial" w:eastAsia="Arial" w:hAnsi="Arial"/>
          <w:b/>
          <w:bCs/>
          <w:color w:val="1E2761"/>
          <w:sz w:val="32"/>
          <w:szCs w:val="32"/>
        </w:rPr>
        <w:t xml:space="preserve">12. Origin Story</w:t>
      </w:r>
    </w:p>
    <w:p>
      <w:pPr>
        <w:spacing w:after="120"/>
        <w:jc w:val="left"/>
      </w:pPr>
      <w:r>
        <w:rPr>
          <w:rFonts w:ascii="Arial" w:cs="Arial" w:eastAsia="Arial" w:hAnsi="Arial"/>
          <w:b w:val="false"/>
          <w:bCs w:val="false"/>
          <w:i w:val="false"/>
          <w:iCs w:val="false"/>
          <w:color w:val="000000"/>
          <w:sz w:val="22"/>
          <w:szCs w:val="22"/>
        </w:rPr>
        <w:t xml:space="preserve">TitleApp started as a blockchain-based land title registry and aviation records platform. Custom GPT experiments revealed a critical gap: advisory AI isn’t enough for high-stakes operations. A chatbot that suggests compliance steps is fundamentally different from a system that enforces them.</w:t>
      </w:r>
    </w:p>
    <w:p>
      <w:pPr>
        <w:spacing w:after="120"/>
        <w:jc w:val="left"/>
      </w:pPr>
      <w:r>
        <w:rPr>
          <w:rFonts w:ascii="Arial" w:cs="Arial" w:eastAsia="Arial" w:hAnsi="Arial"/>
          <w:b w:val="false"/>
          <w:bCs w:val="false"/>
          <w:i w:val="false"/>
          <w:iCs w:val="false"/>
          <w:color w:val="000000"/>
          <w:sz w:val="22"/>
          <w:szCs w:val="22"/>
        </w:rPr>
        <w:t xml:space="preserve">We pivoted: kept the immutable record infrastructure, wrapped it in AI, and added deterministic enforcement. The title registry became a platform. The platform became the home for Digital Workers — AI agents that follow rules, prove compliance, and deliver results you can trust.</w:t>
      </w:r>
    </w:p>
    <w:p>
      <w:pPr>
        <w:spacing w:after="120"/>
        <w:jc w:val="left"/>
      </w:pPr>
      <w:r>
        <w:rPr>
          <w:rFonts w:ascii="Arial" w:cs="Arial" w:eastAsia="Arial" w:hAnsi="Arial"/>
          <w:b w:val="false"/>
          <w:bCs w:val="false"/>
          <w:i w:val="false"/>
          <w:iCs w:val="false"/>
          <w:color w:val="000000"/>
          <w:sz w:val="22"/>
          <w:szCs w:val="22"/>
        </w:rPr>
        <w:t xml:space="preserve">The name reflects this origin: “title” as in provenance, ownership, and verified records. Every Digital Worker on the platform has a title — a verified identity, a set of rules, and a permanent record of its actions.</w:t>
      </w:r>
    </w:p>
    <w:p>
      <w:pPr>
        <w:spacing w:after="80"/>
      </w:pPr>
    </w:p>
    <w:p>
      <w:pPr>
        <w:pBdr>
          <w:top w:val="single" w:color="1E2761" w:sz="2"/>
        </w:pBdr>
        <w:spacing w:before="400"/>
        <w:jc w:val="center"/>
      </w:pPr>
      <w:r>
        <w:rPr>
          <w:rFonts w:ascii="Arial" w:cs="Arial" w:eastAsia="Arial" w:hAnsi="Arial"/>
          <w:b/>
          <w:bCs/>
          <w:color w:val="1E2761"/>
          <w:sz w:val="24"/>
          <w:szCs w:val="24"/>
        </w:rPr>
        <w:t xml:space="preserve">TitleApp — The Digital Worker Platform</w:t>
      </w:r>
    </w:p>
    <w:p>
      <w:pPr>
        <w:jc w:val="center"/>
      </w:pPr>
      <w:r>
        <w:rPr>
          <w:rFonts w:ascii="Arial" w:cs="Arial" w:eastAsia="Arial" w:hAnsi="Arial"/>
          <w:i/>
          <w:iCs/>
          <w:color w:val="2C5F2D"/>
          <w:sz w:val="22"/>
          <w:szCs w:val="22"/>
        </w:rPr>
        <w:t xml:space="preserve">Your AI follows your rules. Every time.</w:t>
      </w:r>
    </w:p>
    <w:p>
      <w:pPr>
        <w:jc w:val="center"/>
      </w:pPr>
      <w:r>
        <w:rPr>
          <w:rFonts w:ascii="Arial" w:cs="Arial" w:eastAsia="Arial" w:hAnsi="Arial"/>
          <w:color w:val="666666"/>
          <w:sz w:val="20"/>
          <w:szCs w:val="20"/>
        </w:rPr>
        <w:t xml:space="preserve">sean@titleapp.ai | kent@titleapp.ai | titleapp.ai</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The Title App LLC | sean@titleapp.ai | titleapp.ai |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TitleApp — Business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2761"/>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C5F2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2026-03-02T10:55:15.320Z</dcterms:created>
  <dcterms:modified xsi:type="dcterms:W3CDTF">2026-03-02T10:55:15.320Z</dcterms:modified>
</cp:coreProperties>
</file>

<file path=docProps/custom.xml><?xml version="1.0" encoding="utf-8"?>
<Properties xmlns="http://schemas.openxmlformats.org/officeDocument/2006/custom-properties" xmlns:vt="http://schemas.openxmlformats.org/officeDocument/2006/docPropsVTypes"/>
</file>