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SOCIII Patent Portfolio</w:t>
      </w:r>
    </w:p>
    <w:p>
      <w:pPr>
        <w:pStyle w:val="Subtitle"/>
      </w:pPr>
      <w:r>
        <w:t xml:space="preserve">Six U.S. Provisional Patent Applications Filed 2026-05-24</w:t>
      </w:r>
    </w:p>
    <w:p>
      <w:pPr>
        <w:pStyle w:val="Author"/>
      </w:pPr>
      <w:r>
        <w:t xml:space="preserve">SOCIII, Inc.</w:t>
      </w:r>
    </w:p>
    <w:p>
      <w:pPr>
        <w:pStyle w:val="Date"/>
      </w:pPr>
      <w:r>
        <w:t xml:space="preserve">2026-05-25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ociii-patent-portfolio"/>
    <w:p>
      <w:pPr>
        <w:pStyle w:val="Heading1"/>
      </w:pPr>
      <w:r>
        <w:t xml:space="preserve">SOCIII Patent Portfolio</w:t>
      </w:r>
    </w:p>
    <w:p>
      <w:pPr>
        <w:pStyle w:val="FirstParagraph"/>
      </w:pPr>
      <w:r>
        <w:rPr>
          <w:b/>
          <w:bCs/>
        </w:rPr>
        <w:t xml:space="preserve">Six U.S. Provisional Patent Applications Filed 2026-05-24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 #</w:t>
            </w:r>
          </w:p>
        </w:tc>
        <w:tc>
          <w:tcPr/>
          <w:p>
            <w:pPr>
              <w:pStyle w:val="Compact"/>
            </w:pPr>
            <w:r>
              <w:t xml:space="preserve">Title</w:t>
            </w:r>
          </w:p>
        </w:tc>
      </w:tr>
      <w:tr>
        <w:tc>
          <w:tcPr/>
          <w:p>
            <w:pPr>
              <w:pStyle w:val="Compact"/>
            </w:pPr>
            <w:r>
              <w:t xml:space="preserve">64/073,693</w:t>
            </w:r>
          </w:p>
        </w:tc>
        <w:tc>
          <w:tcPr/>
          <w:p>
            <w:pPr>
              <w:pStyle w:val="Compact"/>
            </w:pPr>
            <w:r>
              <w:t xml:space="preserve">Knowledge Capture Pipeline</w:t>
            </w:r>
          </w:p>
        </w:tc>
      </w:tr>
      <w:tr>
        <w:tc>
          <w:tcPr/>
          <w:p>
            <w:pPr>
              <w:pStyle w:val="Compact"/>
            </w:pPr>
            <w:r>
              <w:t xml:space="preserve">64/073,700</w:t>
            </w:r>
          </w:p>
        </w:tc>
        <w:tc>
          <w:tcPr/>
          <w:p>
            <w:pPr>
              <w:pStyle w:val="Compact"/>
            </w:pPr>
            <w:r>
              <w:t xml:space="preserve">Audit Trail</w:t>
            </w:r>
          </w:p>
        </w:tc>
      </w:tr>
      <w:tr>
        <w:tc>
          <w:tcPr/>
          <w:p>
            <w:pPr>
              <w:pStyle w:val="Compact"/>
            </w:pPr>
            <w:r>
              <w:t xml:space="preserve">64/073,704</w:t>
            </w:r>
          </w:p>
        </w:tc>
        <w:tc>
          <w:tcPr/>
          <w:p>
            <w:pPr>
              <w:pStyle w:val="Compact"/>
            </w:pPr>
            <w:r>
              <w:t xml:space="preserve">Build-Without-Code</w:t>
            </w:r>
          </w:p>
        </w:tc>
      </w:tr>
      <w:tr>
        <w:tc>
          <w:tcPr/>
          <w:p>
            <w:pPr>
              <w:pStyle w:val="Compact"/>
            </w:pPr>
            <w:r>
              <w:t xml:space="preserve">64/073,705</w:t>
            </w:r>
          </w:p>
        </w:tc>
        <w:tc>
          <w:tcPr/>
          <w:p>
            <w:pPr>
              <w:pStyle w:val="Compact"/>
            </w:pPr>
            <w:r>
              <w:t xml:space="preserve">AI Escrow Locker</w:t>
            </w:r>
          </w:p>
        </w:tc>
      </w:tr>
      <w:tr>
        <w:tc>
          <w:tcPr/>
          <w:p>
            <w:pPr>
              <w:pStyle w:val="Compact"/>
            </w:pPr>
            <w:r>
              <w:t xml:space="preserve">64/073,706</w:t>
            </w:r>
          </w:p>
        </w:tc>
        <w:tc>
          <w:tcPr/>
          <w:p>
            <w:pPr>
              <w:pStyle w:val="Compact"/>
            </w:pPr>
            <w:r>
              <w:t xml:space="preserve">Title and Property Assurance</w:t>
            </w:r>
          </w:p>
        </w:tc>
      </w:tr>
      <w:tr>
        <w:tc>
          <w:tcPr/>
          <w:p>
            <w:pPr>
              <w:pStyle w:val="Compact"/>
            </w:pPr>
            <w:r>
              <w:t xml:space="preserve">64/073,708</w:t>
            </w:r>
          </w:p>
        </w:tc>
        <w:tc>
          <w:tcPr/>
          <w:p>
            <w:pPr>
              <w:pStyle w:val="Compact"/>
            </w:pPr>
            <w:r>
              <w:t xml:space="preserve">RAAS Multi-Tier Composable Rules</w:t>
            </w:r>
          </w:p>
        </w:tc>
      </w:tr>
    </w:tbl>
    <w:p>
      <w:pPr>
        <w:pStyle w:val="BodyText"/>
      </w:pPr>
      <w:r>
        <w:rPr>
          <w:b/>
          <w:bCs/>
        </w:rPr>
        <w:t xml:space="preserve">Conversion deadline:</w:t>
      </w:r>
      <w:r>
        <w:t xml:space="preserve"> </w:t>
      </w:r>
      <w:r>
        <w:t xml:space="preserve">2027-05-24 (12 months from provisional filing date)</w:t>
      </w:r>
    </w:p>
    <w:p>
      <w:pPr>
        <w:pStyle w:val="BodyText"/>
      </w:pPr>
      <w:r>
        <w:rPr>
          <w:b/>
          <w:bCs/>
        </w:rPr>
        <w:t xml:space="preserve">Owned by:</w:t>
      </w:r>
      <w:r>
        <w:t xml:space="preserve"> </w:t>
      </w:r>
      <w:r>
        <w:t xml:space="preserve">SOCIII, Inc. (Delaware C-Corp, EIN 42-2675951)</w:t>
      </w:r>
    </w:p>
    <w:p>
      <w:r>
        <w:pict>
          <v:rect style="width:0;height:1.5pt" o:hralign="center" o:hrstd="t" o:hr="t"/>
        </w:pict>
      </w:r>
    </w:p>
    <w:bookmarkEnd w:id="9"/>
    <w:bookmarkStart w:id="10" w:name="filing-1-audit-trail-app-64073700"/>
    <w:p>
      <w:pPr>
        <w:pStyle w:val="Heading1"/>
      </w:pPr>
      <w:r>
        <w:t xml:space="preserve">Filing 1 — Audit Trail (App # 64/073,700)</w:t>
      </w:r>
    </w:p>
    <w:bookmarkEnd w:id="10"/>
    <w:bookmarkStart w:id="30" w:name="X3f4a8313f7fd20b4aa12ce107fce235f7930ba2"/>
    <w:p>
      <w:pPr>
        <w:pStyle w:val="Heading1"/>
      </w:pPr>
      <w:r>
        <w:t xml:space="preserve">Filing 1 — Identity-Anchored Hash-Chain Audit Trail with Version-Pinned Rule-Set Provenance and Confidential Payload Retention</w:t>
      </w:r>
    </w:p>
    <w:p>
      <w:pPr>
        <w:pStyle w:val="FirstParagraph"/>
      </w:pPr>
      <w:r>
        <w:rPr>
          <w:b/>
          <w:bCs/>
        </w:rPr>
        <w:t xml:space="preserve">Type:</w:t>
      </w:r>
      <w:r>
        <w:t xml:space="preserve"> </w:t>
      </w:r>
      <w:r>
        <w:t xml:space="preserve">Provisional Patent Application (35 U.S.C. § 111(b))</w:t>
      </w:r>
      <w:r>
        <w:t xml:space="preserve"> </w:t>
      </w:r>
      <w:r>
        <w:rPr>
          <w:b/>
          <w:bCs/>
        </w:rPr>
        <w:t xml:space="preserve">Filing target:</w:t>
      </w:r>
      <w:r>
        <w:t xml:space="preserve"> </w:t>
      </w:r>
      <w:r>
        <w:t xml:space="preserve">Sun 2026-05-24 via USPTO EFS-Web</w:t>
      </w:r>
      <w:r>
        <w:t xml:space="preserve"> </w:t>
      </w:r>
      <w:r>
        <w:rPr>
          <w:b/>
          <w:bCs/>
        </w:rPr>
        <w:t xml:space="preserve">Applicant:</w:t>
      </w:r>
      <w:r>
        <w:t xml:space="preserve"> </w:t>
      </w:r>
      <w:r>
        <w:t xml:space="preserve">SOCIII Inc. (Delaware C-corporation)</w:t>
      </w:r>
      <w:r>
        <w:t xml:space="preserve"> </w:t>
      </w:r>
      <w:r>
        <w:rPr>
          <w:b/>
          <w:bCs/>
        </w:rPr>
        <w:t xml:space="preserve">Named Inventor:</w:t>
      </w:r>
      <w:r>
        <w:t xml:space="preserve"> </w:t>
      </w:r>
      <w:r>
        <w:t xml:space="preserve">Sean Lee Combs</w:t>
      </w:r>
      <w:r>
        <w:t xml:space="preserve"> </w:t>
      </w:r>
      <w:r>
        <w:rPr>
          <w:b/>
          <w:bCs/>
        </w:rPr>
        <w:t xml:space="preserve">Small entity status:</w:t>
      </w:r>
      <w:r>
        <w:t xml:space="preserve"> </w:t>
      </w:r>
      <w:r>
        <w:t xml:space="preserve">Yes</w:t>
      </w:r>
      <w:r>
        <w:t xml:space="preserve"> </w:t>
      </w:r>
      <w:r>
        <w:rPr>
          <w:b/>
          <w:bCs/>
        </w:rPr>
        <w:t xml:space="preserve">Estimated filing fee:</w:t>
      </w:r>
      <w:r>
        <w:t xml:space="preserve"> </w:t>
      </w:r>
      <w:r>
        <w:t xml:space="preserve">$120</w:t>
      </w:r>
    </w:p>
    <w:p>
      <w:r>
        <w:pict>
          <v:rect style="width:0;height:1.5pt" o:hralign="center" o:hrstd="t" o:hr="t"/>
        </w:pict>
      </w:r>
    </w:p>
    <w:bookmarkStart w:id="11" w:name="title-of-invention"/>
    <w:p>
      <w:pPr>
        <w:pStyle w:val="Heading2"/>
      </w:pPr>
      <w:r>
        <w:t xml:space="preserve">TITLE OF INVENTION</w:t>
      </w:r>
    </w:p>
    <w:p>
      <w:pPr>
        <w:pStyle w:val="FirstParagraph"/>
      </w:pPr>
      <w:r>
        <w:rPr>
          <w:b/>
          <w:bCs/>
        </w:rPr>
        <w:t xml:space="preserve">Identity-Anchored Hash-Chain Audit Trail System with Version-Pinned Rule-Set Provenance, Confidential Off-Chain Payload Retention, and Chain-Agnostic Anchoring for AI-Powered Governance Decisions</w:t>
      </w:r>
    </w:p>
    <w:p>
      <w:r>
        <w:pict>
          <v:rect style="width:0;height:1.5pt" o:hralign="center" o:hrstd="t" o:hr="t"/>
        </w:pict>
      </w:r>
    </w:p>
    <w:bookmarkEnd w:id="11"/>
    <w:bookmarkStart w:id="12" w:name="field-of-the-invention"/>
    <w:p>
      <w:pPr>
        <w:pStyle w:val="Heading2"/>
      </w:pPr>
      <w:r>
        <w:t xml:space="preserve">FIELD OF THE INVENTION</w:t>
      </w:r>
    </w:p>
    <w:p>
      <w:pPr>
        <w:pStyle w:val="FirstParagraph"/>
      </w:pPr>
      <w:r>
        <w:t xml:space="preserve">The present invention relates to audit trail systems for software-mediated decisions, and more particularly to a hash-anchored cryptographic audit chain wherein every governance decision produced by an AI-powered software agent is bound to an immutable proof-of-existence record that includes (a) a cryptographic hash of the full decision payload, (b) a reference to the pinned version of the rule set under which the decision was evaluated, (c) a cryptographic reference to the identity attestation of the acting user, (d) a signature from the platform operator, and (e) an anchor written to a public blockchain — while the underlying decision payload is retained in append-only off-chain storage accessible only to authorized parties, providing the tamper-evident properties of blockchain combined with the confidentiality properties required for regulated industries.</w:t>
      </w:r>
    </w:p>
    <w:p>
      <w:r>
        <w:pict>
          <v:rect style="width:0;height:1.5pt" o:hralign="center" o:hrstd="t" o:hr="t"/>
        </w:pict>
      </w:r>
    </w:p>
    <w:bookmarkEnd w:id="12"/>
    <w:bookmarkStart w:id="16" w:name="background-of-the-invention"/>
    <w:p>
      <w:pPr>
        <w:pStyle w:val="Heading2"/>
      </w:pPr>
      <w:r>
        <w:t xml:space="preserve">BACKGROUND OF THE INVENTION</w:t>
      </w:r>
    </w:p>
    <w:bookmarkStart w:id="13" w:name="continuous-invention-thread"/>
    <w:p>
      <w:pPr>
        <w:pStyle w:val="Heading3"/>
      </w:pPr>
      <w:r>
        <w:t xml:space="preserve">Continuous Invention Thread</w:t>
      </w:r>
    </w:p>
    <w:p>
      <w:pPr>
        <w:pStyle w:val="FirstParagraph"/>
      </w:pPr>
      <w:r>
        <w:t xml:space="preserve">This invention extends a continuous body of work in blockchain-anchored governance and parent-child digital identity architecture, including U.S. Patent Application No. 18/398,973 (Combs, filed December 28, 2023; abandoned in prosecution and published as prior art approximately June 28, 2025) which disclosed foundational parent-child Digital Title Certificate (DTC) architecture and the use of blockchain anchoring to provide tamper-evidence for asset records, and the December 2024 Blockchain Logbook System filing (Combs) which extended that architecture to dynamically-updatable logbook records with package-transfer semantics. The present invention is a focused contribution claiming the</w:t>
      </w:r>
      <w:r>
        <w:t xml:space="preserve"> </w:t>
      </w:r>
      <w:r>
        <w:rPr>
          <w:b/>
          <w:bCs/>
        </w:rPr>
        <w:t xml:space="preserve">audit trail composition layer</w:t>
      </w:r>
      <w:r>
        <w:t xml:space="preserve"> </w:t>
      </w:r>
      <w:r>
        <w:t xml:space="preserve">— the specific architecture by which AI-powered governance decisions are bound to identity, to pinned rule sets, and to immutable proof-of-existence in a manner that preserves confidentiality of the underlying payload while providing strong tamper-evidence properties.</w:t>
      </w:r>
    </w:p>
    <w:bookmarkEnd w:id="13"/>
    <w:bookmarkStart w:id="14" w:name="Xc8be3f45163d1ab3e4090d76080f58b266d3b7c"/>
    <w:p>
      <w:pPr>
        <w:pStyle w:val="Heading3"/>
      </w:pPr>
      <w:r>
        <w:t xml:space="preserve">Background — The Audit Trail Problem in Regulated AI Systems</w:t>
      </w:r>
    </w:p>
    <w:p>
      <w:pPr>
        <w:pStyle w:val="FirstParagraph"/>
      </w:pPr>
      <w:r>
        <w:t xml:space="preserve">The deployment of AI-powered software agents (large-language-model-based assistants, decision-support systems, autonomous workflow execution) in regulated industries (financial services, healthcare, real estate, securities, government, aviation) raises a fundamental audit-trail problem:</w:t>
      </w:r>
    </w:p>
    <w:p>
      <w:pPr>
        <w:numPr>
          <w:ilvl w:val="0"/>
          <w:numId w:val="1001"/>
        </w:numPr>
      </w:pPr>
      <w:r>
        <w:rPr>
          <w:b/>
          <w:bCs/>
        </w:rPr>
        <w:t xml:space="preserve">AI outputs are probabilistic.</w:t>
      </w:r>
      <w:r>
        <w:t xml:space="preserve"> </w:t>
      </w:r>
      <w:r>
        <w:t xml:space="preserve">Unlike deterministic code, AI agents may produce different outputs for similar inputs. Audit trails must capture the actual output at the time of the decision, not a reconstruction from inputs.</w:t>
      </w:r>
    </w:p>
    <w:p>
      <w:pPr>
        <w:numPr>
          <w:ilvl w:val="0"/>
          <w:numId w:val="1001"/>
        </w:numPr>
      </w:pPr>
      <w:r>
        <w:rPr>
          <w:b/>
          <w:bCs/>
        </w:rPr>
        <w:t xml:space="preserve">Rule sets evolve.</w:t>
      </w:r>
      <w:r>
        <w:t xml:space="preserve"> </w:t>
      </w:r>
      <w:r>
        <w:t xml:space="preserve">Compliance rules, business policies, and platform safety invariants change over time. An audit must reconstruct the exact rules in effect at the time of the decision — not the rules in effect at the time of the audit.</w:t>
      </w:r>
    </w:p>
    <w:p>
      <w:pPr>
        <w:numPr>
          <w:ilvl w:val="0"/>
          <w:numId w:val="1001"/>
        </w:numPr>
      </w:pPr>
      <w:r>
        <w:rPr>
          <w:b/>
          <w:bCs/>
        </w:rPr>
        <w:t xml:space="preserve">Identity must be verifiable.</w:t>
      </w:r>
      <w:r>
        <w:t xml:space="preserve"> </w:t>
      </w:r>
      <w:r>
        <w:t xml:space="preserve">Regulators, courts, and counterparties need cryptographic proof of who initiated the action, not merely a username. Identity attestations from third-party providers (KYC/AML, biometric verification, professional licensure) must flow into the audit record.</w:t>
      </w:r>
    </w:p>
    <w:p>
      <w:pPr>
        <w:numPr>
          <w:ilvl w:val="0"/>
          <w:numId w:val="1001"/>
        </w:numPr>
      </w:pPr>
      <w:r>
        <w:rPr>
          <w:b/>
          <w:bCs/>
        </w:rPr>
        <w:t xml:space="preserve">Payloads contain sensitive data.</w:t>
      </w:r>
      <w:r>
        <w:t xml:space="preserve"> </w:t>
      </w:r>
      <w:r>
        <w:t xml:space="preserve">Decision payloads frequently include personally identifiable information (PII), protected health information (PHI), financial details, or trade secrets. The audit must protect this data while still proving the decision occurred.</w:t>
      </w:r>
    </w:p>
    <w:p>
      <w:pPr>
        <w:numPr>
          <w:ilvl w:val="0"/>
          <w:numId w:val="1001"/>
        </w:numPr>
      </w:pPr>
      <w:r>
        <w:rPr>
          <w:b/>
          <w:bCs/>
        </w:rPr>
        <w:t xml:space="preserve">Tamper-evidence is necessary.</w:t>
      </w:r>
      <w:r>
        <w:t xml:space="preserve"> </w:t>
      </w:r>
      <w:r>
        <w:t xml:space="preserve">Records must be provably unchanged from the time of the decision. Centralized databases provide no cryptographic tamper-evidence; an internal actor can edit them. Public blockchains provide tamper-evidence but expose payloads.</w:t>
      </w:r>
    </w:p>
    <w:p>
      <w:pPr>
        <w:numPr>
          <w:ilvl w:val="0"/>
          <w:numId w:val="1001"/>
        </w:numPr>
      </w:pPr>
      <w:r>
        <w:rPr>
          <w:b/>
          <w:bCs/>
        </w:rPr>
        <w:t xml:space="preserve">Records must outlive infrastructure.</w:t>
      </w:r>
      <w:r>
        <w:t xml:space="preserve"> </w:t>
      </w:r>
      <w:r>
        <w:t xml:space="preserve">Audit records must remain accessible and verifiable even if the platform that created them ceases to exist, is acquired, or changes vendors.</w:t>
      </w:r>
    </w:p>
    <w:bookmarkEnd w:id="14"/>
    <w:bookmarkStart w:id="15" w:name="prior-art-limitations"/>
    <w:p>
      <w:pPr>
        <w:pStyle w:val="Heading3"/>
      </w:pPr>
      <w:r>
        <w:t xml:space="preserve">Prior Art Limitations</w:t>
      </w:r>
    </w:p>
    <w:p>
      <w:pPr>
        <w:pStyle w:val="FirstParagraph"/>
      </w:pPr>
      <w:r>
        <w:t xml:space="preserve">While the cited prior art (18/398,973 and the December 2024 logbook filing) establishes the foundational use of blockchain anchoring to provide tamper-evidence for asset records, those disclosures do not enable:</w:t>
      </w:r>
    </w:p>
    <w:p>
      <w:pPr>
        <w:numPr>
          <w:ilvl w:val="0"/>
          <w:numId w:val="1002"/>
        </w:numPr>
      </w:pPr>
      <w:r>
        <w:rPr>
          <w:b/>
          <w:bCs/>
        </w:rPr>
        <w:t xml:space="preserve">Version-pinning of rule sets</w:t>
      </w:r>
      <w:r>
        <w:t xml:space="preserve"> </w:t>
      </w:r>
      <w:r>
        <w:t xml:space="preserve">at the time of each audit event, with the pinned rule-set reference cryptographically included in the on-chain anchor. Without this, the auditor cannot reconstruct which rules governed the decision.</w:t>
      </w:r>
    </w:p>
    <w:p>
      <w:pPr>
        <w:numPr>
          <w:ilvl w:val="0"/>
          <w:numId w:val="1002"/>
        </w:numPr>
      </w:pPr>
      <w:r>
        <w:rPr>
          <w:b/>
          <w:bCs/>
        </w:rPr>
        <w:t xml:space="preserve">Identity-anchored audit composition</w:t>
      </w:r>
      <w:r>
        <w:t xml:space="preserve"> </w:t>
      </w:r>
      <w:r>
        <w:t xml:space="preserve">where the user’s identity attestation reference is included as a first-class element of the audit event payload, providing a cryptographic chain from action → composed rules → identity.</w:t>
      </w:r>
    </w:p>
    <w:p>
      <w:pPr>
        <w:numPr>
          <w:ilvl w:val="0"/>
          <w:numId w:val="1002"/>
        </w:numPr>
      </w:pPr>
      <w:r>
        <w:rPr>
          <w:b/>
          <w:bCs/>
        </w:rPr>
        <w:t xml:space="preserve">The on-chain hash / off-chain payload split</w:t>
      </w:r>
      <w:r>
        <w:t xml:space="preserve"> </w:t>
      </w:r>
      <w:r>
        <w:t xml:space="preserve">as a deliberate architectural pattern providing tamper-evidence without exposing decision data. The 2023 prior art described blockchain anchoring of records but did not specifically claim the confidentiality-preserving architecture of hashing on-chain while retaining payloads in authorized off-chain storage.</w:t>
      </w:r>
    </w:p>
    <w:p>
      <w:pPr>
        <w:numPr>
          <w:ilvl w:val="0"/>
          <w:numId w:val="1002"/>
        </w:numPr>
      </w:pPr>
      <w:r>
        <w:rPr>
          <w:b/>
          <w:bCs/>
        </w:rPr>
        <w:t xml:space="preserve">AI-specific audit event composition</w:t>
      </w:r>
      <w:r>
        <w:t xml:space="preserve"> </w:t>
      </w:r>
      <w:r>
        <w:t xml:space="preserve">wherein the audit payload includes the AI worker identifier, the input that triggered the decision, the composed rule set under which the worker operated, the rule-by-rule evaluation outcome, the worker’s output, and the action outcome (executed, blocked, routed to human review).</w:t>
      </w:r>
    </w:p>
    <w:p>
      <w:pPr>
        <w:numPr>
          <w:ilvl w:val="0"/>
          <w:numId w:val="1002"/>
        </w:numPr>
      </w:pPr>
      <w:r>
        <w:rPr>
          <w:b/>
          <w:bCs/>
        </w:rPr>
        <w:t xml:space="preserve">Chain-agnostic anchor abstraction</w:t>
      </w:r>
      <w:r>
        <w:t xml:space="preserve"> </w:t>
      </w:r>
      <w:r>
        <w:t xml:space="preserve">allowing the same audit chain to anchor to Base, Ethereum, Polygon, Solana, Avalanche, or permissioned chains without changing the audit semantics.</w:t>
      </w:r>
    </w:p>
    <w:p>
      <w:pPr>
        <w:numPr>
          <w:ilvl w:val="0"/>
          <w:numId w:val="1002"/>
        </w:numPr>
      </w:pPr>
      <w:r>
        <w:rPr>
          <w:b/>
          <w:bCs/>
        </w:rPr>
        <w:t xml:space="preserve">Authorized audit access keyed by hash</w:t>
      </w:r>
      <w:r>
        <w:t xml:space="preserve"> </w:t>
      </w:r>
      <w:r>
        <w:t xml:space="preserve">— a mechanism by which authorized auditors (regulators, courts, counterparties under subpoena) can retrieve the off-chain payload for a specific on-chain hash without requiring access to the full audit database.</w:t>
      </w:r>
    </w:p>
    <w:p>
      <w:pPr>
        <w:pStyle w:val="FirstParagraph"/>
      </w:pPr>
      <w:r>
        <w:t xml:space="preserve">The present invention provides these capabilities through novel system composition.</w:t>
      </w:r>
    </w:p>
    <w:p>
      <w:r>
        <w:pict>
          <v:rect style="width:0;height:1.5pt" o:hralign="center" o:hrstd="t" o:hr="t"/>
        </w:pict>
      </w:r>
    </w:p>
    <w:bookmarkEnd w:id="15"/>
    <w:bookmarkEnd w:id="16"/>
    <w:bookmarkStart w:id="17" w:name="summary-of-the-invention"/>
    <w:p>
      <w:pPr>
        <w:pStyle w:val="Heading2"/>
      </w:pPr>
      <w:r>
        <w:t xml:space="preserve">SUMMARY OF THE INVENTION</w:t>
      </w:r>
    </w:p>
    <w:p>
      <w:pPr>
        <w:pStyle w:val="FirstParagraph"/>
      </w:pPr>
      <w:r>
        <w:t xml:space="preserve">The present invention provides an Identity-Anchored Hash-Chain Audit Trail System (the</w:t>
      </w:r>
      <w:r>
        <w:t xml:space="preserve"> </w:t>
      </w:r>
      <w:r>
        <w:t xml:space="preserve">“System”</w:t>
      </w:r>
      <w:r>
        <w:t xml:space="preserve">) comprising:</w:t>
      </w:r>
    </w:p>
    <w:p>
      <w:pPr>
        <w:numPr>
          <w:ilvl w:val="0"/>
          <w:numId w:val="1003"/>
        </w:numPr>
      </w:pPr>
      <w:r>
        <w:rPr>
          <w:b/>
          <w:bCs/>
        </w:rPr>
        <w:t xml:space="preserve">An audit event schema</w:t>
      </w:r>
      <w:r>
        <w:t xml:space="preserve"> </w:t>
      </w:r>
      <w:r>
        <w:t xml:space="preserve">wherein each AI-mediated governance decision generates a structured event record containing:</w:t>
      </w:r>
    </w:p>
    <w:p>
      <w:pPr>
        <w:pStyle w:val="Compact"/>
        <w:numPr>
          <w:ilvl w:val="1"/>
          <w:numId w:val="1004"/>
        </w:numPr>
      </w:pPr>
      <w:r>
        <w:t xml:space="preserve">A unique event identifier</w:t>
      </w:r>
    </w:p>
    <w:p>
      <w:pPr>
        <w:pStyle w:val="Compact"/>
        <w:numPr>
          <w:ilvl w:val="1"/>
          <w:numId w:val="1004"/>
        </w:numPr>
      </w:pPr>
      <w:r>
        <w:t xml:space="preserve">Timestamp (UTC, with sub-second precision)</w:t>
      </w:r>
    </w:p>
    <w:p>
      <w:pPr>
        <w:pStyle w:val="Compact"/>
        <w:numPr>
          <w:ilvl w:val="1"/>
          <w:numId w:val="1004"/>
        </w:numPr>
      </w:pPr>
      <w:r>
        <w:t xml:space="preserve">The acting AI worker identifier and version</w:t>
      </w:r>
    </w:p>
    <w:p>
      <w:pPr>
        <w:pStyle w:val="Compact"/>
        <w:numPr>
          <w:ilvl w:val="1"/>
          <w:numId w:val="1004"/>
        </w:numPr>
      </w:pPr>
      <w:r>
        <w:t xml:space="preserve">The acting user’s identity attestation reference (cryptographic reference to a separately-issued attestation from a hosted identity rail)</w:t>
      </w:r>
    </w:p>
    <w:p>
      <w:pPr>
        <w:pStyle w:val="Compact"/>
        <w:numPr>
          <w:ilvl w:val="1"/>
          <w:numId w:val="1004"/>
        </w:numPr>
      </w:pPr>
      <w:r>
        <w:t xml:space="preserve">The pinned rule-set version (a cryptographic content hash uniquely identifying the composed rule set in effect at the time of the event)</w:t>
      </w:r>
    </w:p>
    <w:p>
      <w:pPr>
        <w:pStyle w:val="Compact"/>
        <w:numPr>
          <w:ilvl w:val="1"/>
          <w:numId w:val="1004"/>
        </w:numPr>
      </w:pPr>
      <w:r>
        <w:t xml:space="preserve">The input context (the prompt, query, or trigger that initiated the decision)</w:t>
      </w:r>
    </w:p>
    <w:p>
      <w:pPr>
        <w:pStyle w:val="Compact"/>
        <w:numPr>
          <w:ilvl w:val="1"/>
          <w:numId w:val="1004"/>
        </w:numPr>
      </w:pPr>
      <w:r>
        <w:t xml:space="preserve">The rule-by-rule evaluation outcome (which rules evaluated, with what severity, producing what verdict)</w:t>
      </w:r>
    </w:p>
    <w:p>
      <w:pPr>
        <w:pStyle w:val="Compact"/>
        <w:numPr>
          <w:ilvl w:val="1"/>
          <w:numId w:val="1004"/>
        </w:numPr>
      </w:pPr>
      <w:r>
        <w:t xml:space="preserve">The worker’s output</w:t>
      </w:r>
    </w:p>
    <w:p>
      <w:pPr>
        <w:pStyle w:val="Compact"/>
        <w:numPr>
          <w:ilvl w:val="1"/>
          <w:numId w:val="1004"/>
        </w:numPr>
      </w:pPr>
      <w:r>
        <w:t xml:space="preserve">The action outcome (executed, blocked, routed to human review, with the reason)</w:t>
      </w:r>
    </w:p>
    <w:p>
      <w:pPr>
        <w:pStyle w:val="Compact"/>
        <w:numPr>
          <w:ilvl w:val="1"/>
          <w:numId w:val="1004"/>
        </w:numPr>
      </w:pPr>
      <w:r>
        <w:t xml:space="preserve">The platform’s signing identifier</w:t>
      </w:r>
    </w:p>
    <w:p>
      <w:pPr>
        <w:numPr>
          <w:ilvl w:val="0"/>
          <w:numId w:val="1003"/>
        </w:numPr>
      </w:pPr>
      <w:r>
        <w:rPr>
          <w:b/>
          <w:bCs/>
        </w:rPr>
        <w:t xml:space="preserve">A cryptographic hash function</w:t>
      </w:r>
      <w:r>
        <w:t xml:space="preserve"> </w:t>
      </w:r>
      <w:r>
        <w:t xml:space="preserve">applied to the event record producing a 256-bit (or larger) hash that uniquely identifies the event.</w:t>
      </w:r>
    </w:p>
    <w:p>
      <w:pPr>
        <w:numPr>
          <w:ilvl w:val="0"/>
          <w:numId w:val="1003"/>
        </w:numPr>
      </w:pPr>
      <w:r>
        <w:rPr>
          <w:b/>
          <w:bCs/>
        </w:rPr>
        <w:t xml:space="preserve">A platform-signature step</w:t>
      </w:r>
      <w:r>
        <w:t xml:space="preserve"> </w:t>
      </w:r>
      <w:r>
        <w:t xml:space="preserve">wherein the hash is signed by the platform’s private signing key, producing a signed hash.</w:t>
      </w:r>
    </w:p>
    <w:p>
      <w:pPr>
        <w:numPr>
          <w:ilvl w:val="0"/>
          <w:numId w:val="1003"/>
        </w:numPr>
      </w:pPr>
      <w:r>
        <w:rPr>
          <w:b/>
          <w:bCs/>
        </w:rPr>
        <w:t xml:space="preserve">A chain-agnostic anchor adapter</w:t>
      </w:r>
      <w:r>
        <w:t xml:space="preserve"> </w:t>
      </w:r>
      <w:r>
        <w:t xml:space="preserve">that writes the signed hash to a target public blockchain (preferred embodiment Base; alternative embodiments Ethereum, Polygon, Solana, Avalanche, and others). The anchor adapter normalizes across chains so the same audit-chain semantics apply regardless of the underlying chain.</w:t>
      </w:r>
    </w:p>
    <w:p>
      <w:pPr>
        <w:numPr>
          <w:ilvl w:val="0"/>
          <w:numId w:val="1003"/>
        </w:numPr>
      </w:pPr>
      <w:r>
        <w:rPr>
          <w:b/>
          <w:bCs/>
        </w:rPr>
        <w:t xml:space="preserve">An off-chain payload retention layer</w:t>
      </w:r>
      <w:r>
        <w:t xml:space="preserve"> </w:t>
      </w:r>
      <w:r>
        <w:t xml:space="preserve">wherein the full event record (including the input, output, rule evaluations, and any associated data) is stored in append-only secure storage with row-level encryption. The off-chain payload is accessible only to authorized parties (platform operators with appropriate role permissions, the user who initiated the action, authorized regulators, courts under subpoena).</w:t>
      </w:r>
    </w:p>
    <w:p>
      <w:pPr>
        <w:numPr>
          <w:ilvl w:val="0"/>
          <w:numId w:val="1003"/>
        </w:numPr>
      </w:pPr>
      <w:r>
        <w:rPr>
          <w:b/>
          <w:bCs/>
        </w:rPr>
        <w:t xml:space="preserve">A hash-keyed retrieval API</w:t>
      </w:r>
      <w:r>
        <w:t xml:space="preserve"> </w:t>
      </w:r>
      <w:r>
        <w:t xml:space="preserve">providing programmatic access to the off-chain payload given a valid on-chain hash and appropriate authentication. An auditor presented with a hash from a counterparty’s records can request the corresponding payload through this API.</w:t>
      </w:r>
    </w:p>
    <w:p>
      <w:pPr>
        <w:numPr>
          <w:ilvl w:val="0"/>
          <w:numId w:val="1003"/>
        </w:numPr>
      </w:pPr>
      <w:r>
        <w:rPr>
          <w:b/>
          <w:bCs/>
        </w:rPr>
        <w:t xml:space="preserve">Version-pinning integration</w:t>
      </w:r>
      <w:r>
        <w:t xml:space="preserve"> </w:t>
      </w:r>
      <w:r>
        <w:t xml:space="preserve">with a separate Rule Composition Engine (referenced from co-pending applications) wherein the composed rule-set version is computed deterministically from the inputs and persisted alongside the event. Rule-set versions are themselves content-hashed; the pinned reference allows reconstruction of the exact rules under which the decision was made.</w:t>
      </w:r>
    </w:p>
    <w:p>
      <w:pPr>
        <w:numPr>
          <w:ilvl w:val="0"/>
          <w:numId w:val="1003"/>
        </w:numPr>
      </w:pPr>
      <w:r>
        <w:rPr>
          <w:b/>
          <w:bCs/>
        </w:rPr>
        <w:t xml:space="preserve">Identity attestation integration</w:t>
      </w:r>
      <w:r>
        <w:t xml:space="preserve"> </w:t>
      </w:r>
      <w:r>
        <w:t xml:space="preserve">wherein the user’s identity attestation reference flows into the event payload, providing a cryptographic chain through to the third-party identity provider’s attestation (Stripe Identity, Coinbase Verified, or similar) without exposing the user’s PII in the on-chain hash.</w:t>
      </w:r>
    </w:p>
    <w:p>
      <w:pPr>
        <w:numPr>
          <w:ilvl w:val="0"/>
          <w:numId w:val="1003"/>
        </w:numPr>
      </w:pPr>
      <w:r>
        <w:rPr>
          <w:b/>
          <w:bCs/>
        </w:rPr>
        <w:t xml:space="preserve">Retention and access policy enforcement</w:t>
      </w:r>
      <w:r>
        <w:t xml:space="preserve"> </w:t>
      </w:r>
      <w:r>
        <w:t xml:space="preserve">wherein off-chain payloads are governed by per-vertical retention rules (e.g., HIPAA mandates seven-year retention for healthcare events; financial services rules vary by jurisdiction) and per-event access policies (which roles or entities may retrieve which events).</w:t>
      </w:r>
    </w:p>
    <w:p>
      <w:pPr>
        <w:pStyle w:val="FirstParagraph"/>
      </w:pPr>
      <w:r>
        <w:t xml:space="preserve">The System provides:</w:t>
      </w:r>
    </w:p>
    <w:p>
      <w:pPr>
        <w:pStyle w:val="Compact"/>
        <w:numPr>
          <w:ilvl w:val="0"/>
          <w:numId w:val="1005"/>
        </w:numPr>
      </w:pPr>
      <w:r>
        <w:rPr>
          <w:b/>
          <w:bCs/>
        </w:rPr>
        <w:t xml:space="preserve">Tamper-evidence</w:t>
      </w:r>
      <w:r>
        <w:t xml:space="preserve"> </w:t>
      </w:r>
      <w:r>
        <w:t xml:space="preserve">for every governance decision through the on-chain anchor</w:t>
      </w:r>
    </w:p>
    <w:p>
      <w:pPr>
        <w:pStyle w:val="Compact"/>
        <w:numPr>
          <w:ilvl w:val="0"/>
          <w:numId w:val="1005"/>
        </w:numPr>
      </w:pPr>
      <w:r>
        <w:rPr>
          <w:b/>
          <w:bCs/>
        </w:rPr>
        <w:t xml:space="preserve">Confidentiality</w:t>
      </w:r>
      <w:r>
        <w:t xml:space="preserve"> </w:t>
      </w:r>
      <w:r>
        <w:t xml:space="preserve">for the underlying decision data through off-chain retention</w:t>
      </w:r>
    </w:p>
    <w:p>
      <w:pPr>
        <w:pStyle w:val="Compact"/>
        <w:numPr>
          <w:ilvl w:val="0"/>
          <w:numId w:val="1005"/>
        </w:numPr>
      </w:pPr>
      <w:r>
        <w:rPr>
          <w:b/>
          <w:bCs/>
        </w:rPr>
        <w:t xml:space="preserve">Reproducibility</w:t>
      </w:r>
      <w:r>
        <w:t xml:space="preserve"> </w:t>
      </w:r>
      <w:r>
        <w:t xml:space="preserve">through version-pinning of the rule set in effect at the time of the decision</w:t>
      </w:r>
    </w:p>
    <w:p>
      <w:pPr>
        <w:pStyle w:val="Compact"/>
        <w:numPr>
          <w:ilvl w:val="0"/>
          <w:numId w:val="1005"/>
        </w:numPr>
      </w:pPr>
      <w:r>
        <w:rPr>
          <w:b/>
          <w:bCs/>
        </w:rPr>
        <w:t xml:space="preserve">Identity provenance</w:t>
      </w:r>
      <w:r>
        <w:t xml:space="preserve"> </w:t>
      </w:r>
      <w:r>
        <w:t xml:space="preserve">through the cryptographic reference to the user’s identity attestation</w:t>
      </w:r>
    </w:p>
    <w:p>
      <w:pPr>
        <w:pStyle w:val="Compact"/>
        <w:numPr>
          <w:ilvl w:val="0"/>
          <w:numId w:val="1005"/>
        </w:numPr>
      </w:pPr>
      <w:r>
        <w:rPr>
          <w:b/>
          <w:bCs/>
        </w:rPr>
        <w:t xml:space="preserve">Chain-agnostic operation</w:t>
      </w:r>
      <w:r>
        <w:t xml:space="preserve"> </w:t>
      </w:r>
      <w:r>
        <w:t xml:space="preserve">through the anchor adapter abstraction</w:t>
      </w:r>
    </w:p>
    <w:p>
      <w:pPr>
        <w:pStyle w:val="Compact"/>
        <w:numPr>
          <w:ilvl w:val="0"/>
          <w:numId w:val="1005"/>
        </w:numPr>
      </w:pPr>
      <w:r>
        <w:rPr>
          <w:b/>
          <w:bCs/>
        </w:rPr>
        <w:t xml:space="preserve">Authorized audit access</w:t>
      </w:r>
      <w:r>
        <w:t xml:space="preserve"> </w:t>
      </w:r>
      <w:r>
        <w:t xml:space="preserve">through the hash-keyed retrieval API</w:t>
      </w:r>
    </w:p>
    <w:p>
      <w:pPr>
        <w:pStyle w:val="Compact"/>
        <w:numPr>
          <w:ilvl w:val="0"/>
          <w:numId w:val="1005"/>
        </w:numPr>
      </w:pPr>
      <w:r>
        <w:rPr>
          <w:b/>
          <w:bCs/>
        </w:rPr>
        <w:t xml:space="preserve">Defensive longevity</w:t>
      </w:r>
      <w:r>
        <w:t xml:space="preserve"> </w:t>
      </w:r>
      <w:r>
        <w:t xml:space="preserve">wherein audit records remain verifiable even if the platform ceases to exist (the on-chain anchors and any party’s local copy of the off-chain payload together suffice to verify the decision occurred)</w:t>
      </w:r>
    </w:p>
    <w:p>
      <w:r>
        <w:pict>
          <v:rect style="width:0;height:1.5pt" o:hralign="center" o:hrstd="t" o:hr="t"/>
        </w:pict>
      </w:r>
    </w:p>
    <w:bookmarkEnd w:id="17"/>
    <w:bookmarkStart w:id="25" w:name="detailed-description-of-embodiments"/>
    <w:p>
      <w:pPr>
        <w:pStyle w:val="Heading2"/>
      </w:pPr>
      <w:r>
        <w:t xml:space="preserve">DETAILED DESCRIPTION OF EMBODIMENTS</w:t>
      </w:r>
    </w:p>
    <w:bookmarkStart w:id="18" w:name="system-architecture"/>
    <w:p>
      <w:pPr>
        <w:pStyle w:val="Heading3"/>
      </w:pPr>
      <w:r>
        <w:t xml:space="preserve">System Architecture</w:t>
      </w:r>
    </w:p>
    <w:p>
      <w:pPr>
        <w:pStyle w:val="FirstParagraph"/>
      </w:pPr>
      <w:r>
        <w:t xml:space="preserve">The System comprises four principal subsystems operating in concert:</w:t>
      </w:r>
    </w:p>
    <w:p>
      <w:pPr>
        <w:pStyle w:val="BodyText"/>
      </w:pPr>
      <w:r>
        <w:rPr>
          <w:b/>
          <w:bCs/>
        </w:rPr>
        <w:t xml:space="preserve">1. The Event Composer.</w:t>
      </w:r>
      <w:r>
        <w:t xml:space="preserve"> </w:t>
      </w:r>
      <w:r>
        <w:t xml:space="preserve">A backend service invoked by AI worker execution paths and by rule-evaluation services. Given the inputs (acting worker, user, context, rule set, output), the composer assembles a structured event record per the schema in the Summary section.</w:t>
      </w:r>
    </w:p>
    <w:p>
      <w:pPr>
        <w:pStyle w:val="BodyText"/>
      </w:pPr>
      <w:r>
        <w:rPr>
          <w:b/>
          <w:bCs/>
        </w:rPr>
        <w:t xml:space="preserve">2. The Hash-and-Sign Service.</w:t>
      </w:r>
      <w:r>
        <w:t xml:space="preserve"> </w:t>
      </w:r>
      <w:r>
        <w:t xml:space="preserve">Stateless transformation: serializes the event record into a canonical byte representation (JSON with sorted keys and stable encoding in the preferred embodiment), applies SHA-256 (or a stronger hash function in embodiments requiring post-quantum resistance), and signs the hash with the platform’s private signing key.</w:t>
      </w:r>
    </w:p>
    <w:p>
      <w:pPr>
        <w:pStyle w:val="BodyText"/>
      </w:pPr>
      <w:r>
        <w:rPr>
          <w:b/>
          <w:bCs/>
        </w:rPr>
        <w:t xml:space="preserve">3. The Anchor Adapter.</w:t>
      </w:r>
      <w:r>
        <w:t xml:space="preserve"> </w:t>
      </w:r>
      <w:r>
        <w:t xml:space="preserve">Chain-agnostic abstraction over public blockchain anchoring. The adapter exposes a uniform interface (</w:t>
      </w:r>
      <w:r>
        <w:rPr>
          <w:rStyle w:val="VerbatimChar"/>
        </w:rPr>
        <w:t xml:space="preserve">anchor(signedHash, metadata) → AnchorReceipt</w:t>
      </w:r>
      <w:r>
        <w:t xml:space="preserve">) and implements chain-specific adapters internally. The preferred embodiment writes anchors as small payload transactions on Base (selected for cost-efficiency and ecosystem reach as of the filing date). Alternative embodiments include Ethereum (for maximum decentralization), Polygon (for cost-efficiency at scale), Solana (for fast settlement), Avalanche (for sub-net isolation), and permissioned chains such as Hyperledger Fabric (for enterprise deployments with data-residency requirements).</w:t>
      </w:r>
    </w:p>
    <w:p>
      <w:pPr>
        <w:pStyle w:val="BodyText"/>
      </w:pPr>
      <w:r>
        <w:rPr>
          <w:b/>
          <w:bCs/>
        </w:rPr>
        <w:t xml:space="preserve">4. The Payload Store.</w:t>
      </w:r>
      <w:r>
        <w:t xml:space="preserve"> </w:t>
      </w:r>
      <w:r>
        <w:t xml:space="preserve">Append-only, row-encrypted, multi-region storage holding the full event payload keyed by the event’s cryptographic hash. The store enforces:</w:t>
      </w:r>
      <w:r>
        <w:t xml:space="preserve"> </w:t>
      </w:r>
      <w:r>
        <w:t xml:space="preserve">-</w:t>
      </w:r>
      <w:r>
        <w:t xml:space="preserve"> </w:t>
      </w:r>
      <w:r>
        <w:rPr>
          <w:b/>
          <w:bCs/>
        </w:rPr>
        <w:t xml:space="preserve">Append-only writes</w:t>
      </w:r>
      <w:r>
        <w:t xml:space="preserve"> </w:t>
      </w:r>
      <w:r>
        <w:t xml:space="preserve">— once persisted, an event record cannot be modified</w:t>
      </w:r>
      <w:r>
        <w:t xml:space="preserve"> </w:t>
      </w:r>
      <w:r>
        <w:t xml:space="preserve">-</w:t>
      </w:r>
      <w:r>
        <w:t xml:space="preserve"> </w:t>
      </w:r>
      <w:r>
        <w:rPr>
          <w:b/>
          <w:bCs/>
        </w:rPr>
        <w:t xml:space="preserve">Row-level encryption</w:t>
      </w:r>
      <w:r>
        <w:t xml:space="preserve"> </w:t>
      </w:r>
      <w:r>
        <w:t xml:space="preserve">— each event’s payload is encrypted with a key derived from the platform master key and the event hash, ensuring that a database breach does not expose unrelated events</w:t>
      </w:r>
      <w:r>
        <w:t xml:space="preserve"> </w:t>
      </w:r>
      <w:r>
        <w:t xml:space="preserve">-</w:t>
      </w:r>
      <w:r>
        <w:t xml:space="preserve"> </w:t>
      </w:r>
      <w:r>
        <w:rPr>
          <w:b/>
          <w:bCs/>
        </w:rPr>
        <w:t xml:space="preserve">Access policy enforcement</w:t>
      </w:r>
      <w:r>
        <w:t xml:space="preserve"> </w:t>
      </w:r>
      <w:r>
        <w:t xml:space="preserve">— read access is mediated by the platform’s authentication and authorization layer, with per-event policies governing who can retrieve what</w:t>
      </w:r>
      <w:r>
        <w:t xml:space="preserve"> </w:t>
      </w:r>
      <w:r>
        <w:t xml:space="preserve">-</w:t>
      </w:r>
      <w:r>
        <w:t xml:space="preserve"> </w:t>
      </w:r>
      <w:r>
        <w:rPr>
          <w:b/>
          <w:bCs/>
        </w:rPr>
        <w:t xml:space="preserve">Retention policy enforcement</w:t>
      </w:r>
      <w:r>
        <w:t xml:space="preserve"> </w:t>
      </w:r>
      <w:r>
        <w:t xml:space="preserve">— events are retained per the vertical-specific rules in the composed rule set (e.g., seven years for HIPAA, varying durations for financial services)</w:t>
      </w:r>
    </w:p>
    <w:bookmarkEnd w:id="18"/>
    <w:bookmarkStart w:id="19" w:name="the-audit-event-lifecycle"/>
    <w:p>
      <w:pPr>
        <w:pStyle w:val="Heading3"/>
      </w:pPr>
      <w:r>
        <w:t xml:space="preserve">The Audit Event Lifecycle</w:t>
      </w:r>
    </w:p>
    <w:p>
      <w:pPr>
        <w:pStyle w:val="FirstParagraph"/>
      </w:pPr>
      <w:r>
        <w:t xml:space="preserve">A representative audit event proceeds as follows:</w:t>
      </w:r>
    </w:p>
    <w:p>
      <w:pPr>
        <w:numPr>
          <w:ilvl w:val="0"/>
          <w:numId w:val="1006"/>
        </w:numPr>
      </w:pPr>
      <w:r>
        <w:rPr>
          <w:b/>
          <w:bCs/>
        </w:rPr>
        <w:t xml:space="preserve">Trigger.</w:t>
      </w:r>
      <w:r>
        <w:t xml:space="preserve"> </w:t>
      </w:r>
      <w:r>
        <w:t xml:space="preserve">An AI-powered software agent is invoked. The Rule Composition Engine assembles the applicable rule set, the composition hash is computed.</w:t>
      </w:r>
    </w:p>
    <w:p>
      <w:pPr>
        <w:numPr>
          <w:ilvl w:val="0"/>
          <w:numId w:val="1006"/>
        </w:numPr>
      </w:pPr>
      <w:r>
        <w:rPr>
          <w:b/>
          <w:bCs/>
        </w:rPr>
        <w:t xml:space="preserve">Worker execution.</w:t>
      </w:r>
      <w:r>
        <w:t xml:space="preserve"> </w:t>
      </w:r>
      <w:r>
        <w:t xml:space="preserve">The agent executes its function within the composed rule-set constraints, producing an output.</w:t>
      </w:r>
    </w:p>
    <w:p>
      <w:pPr>
        <w:numPr>
          <w:ilvl w:val="0"/>
          <w:numId w:val="1006"/>
        </w:numPr>
      </w:pPr>
      <w:r>
        <w:rPr>
          <w:b/>
          <w:bCs/>
        </w:rPr>
        <w:t xml:space="preserve">Output validation.</w:t>
      </w:r>
      <w:r>
        <w:t xml:space="preserve"> </w:t>
      </w:r>
      <w:r>
        <w:t xml:space="preserve">The output is evaluated against the composed rules.</w:t>
      </w:r>
    </w:p>
    <w:p>
      <w:pPr>
        <w:numPr>
          <w:ilvl w:val="0"/>
          <w:numId w:val="1006"/>
        </w:numPr>
      </w:pPr>
      <w:r>
        <w:rPr>
          <w:b/>
          <w:bCs/>
        </w:rPr>
        <w:t xml:space="preserve">Pre-publish check (if applicable).</w:t>
      </w:r>
      <w:r>
        <w:t xml:space="preserve"> </w:t>
      </w:r>
      <w:r>
        <w:t xml:space="preserve">If the output proposes an external action, the pre-publish constraint check runs.</w:t>
      </w:r>
    </w:p>
    <w:p>
      <w:pPr>
        <w:numPr>
          <w:ilvl w:val="0"/>
          <w:numId w:val="1006"/>
        </w:numPr>
      </w:pPr>
      <w:r>
        <w:rPr>
          <w:b/>
          <w:bCs/>
        </w:rPr>
        <w:t xml:space="preserve">Action decision.</w:t>
      </w:r>
      <w:r>
        <w:t xml:space="preserve"> </w:t>
      </w:r>
      <w:r>
        <w:t xml:space="preserve">Based on the validation outcomes, the action either executes, blocks, or routes to human review.</w:t>
      </w:r>
    </w:p>
    <w:p>
      <w:pPr>
        <w:numPr>
          <w:ilvl w:val="0"/>
          <w:numId w:val="1006"/>
        </w:numPr>
      </w:pPr>
      <w:r>
        <w:rPr>
          <w:b/>
          <w:bCs/>
        </w:rPr>
        <w:t xml:space="preserve">Event composition.</w:t>
      </w:r>
      <w:r>
        <w:t xml:space="preserve"> </w:t>
      </w:r>
      <w:r>
        <w:t xml:space="preserve">The Event Composer assembles the full event record including all the elements from the Summary section.</w:t>
      </w:r>
    </w:p>
    <w:p>
      <w:pPr>
        <w:numPr>
          <w:ilvl w:val="0"/>
          <w:numId w:val="1006"/>
        </w:numPr>
      </w:pPr>
      <w:r>
        <w:rPr>
          <w:b/>
          <w:bCs/>
        </w:rPr>
        <w:t xml:space="preserve">Hash-and-sign.</w:t>
      </w:r>
      <w:r>
        <w:t xml:space="preserve"> </w:t>
      </w:r>
      <w:r>
        <w:t xml:space="preserve">The Hash-and-Sign Service produces a signed hash.</w:t>
      </w:r>
    </w:p>
    <w:p>
      <w:pPr>
        <w:numPr>
          <w:ilvl w:val="0"/>
          <w:numId w:val="1006"/>
        </w:numPr>
      </w:pPr>
      <w:r>
        <w:rPr>
          <w:b/>
          <w:bCs/>
        </w:rPr>
        <w:t xml:space="preserve">Anchor.</w:t>
      </w:r>
      <w:r>
        <w:t xml:space="preserve"> </w:t>
      </w:r>
      <w:r>
        <w:t xml:space="preserve">The Anchor Adapter writes the signed hash to the target public blockchain, receiving an anchor receipt (transaction hash, block number, timestamp from the chain).</w:t>
      </w:r>
    </w:p>
    <w:p>
      <w:pPr>
        <w:numPr>
          <w:ilvl w:val="0"/>
          <w:numId w:val="1006"/>
        </w:numPr>
      </w:pPr>
      <w:r>
        <w:rPr>
          <w:b/>
          <w:bCs/>
        </w:rPr>
        <w:t xml:space="preserve">Payload persist.</w:t>
      </w:r>
      <w:r>
        <w:t xml:space="preserve"> </w:t>
      </w:r>
      <w:r>
        <w:t xml:space="preserve">The full event record (including the anchor receipt) is written to the Payload Store keyed by the event hash.</w:t>
      </w:r>
    </w:p>
    <w:p>
      <w:pPr>
        <w:numPr>
          <w:ilvl w:val="0"/>
          <w:numId w:val="1006"/>
        </w:numPr>
      </w:pPr>
      <w:r>
        <w:rPr>
          <w:b/>
          <w:bCs/>
        </w:rPr>
        <w:t xml:space="preserve">Return.</w:t>
      </w:r>
      <w:r>
        <w:t xml:space="preserve"> </w:t>
      </w:r>
      <w:r>
        <w:t xml:space="preserve">A response is returned to the calling worker, including the event hash so the user can be shown the audit-chain reference if desired.</w:t>
      </w:r>
    </w:p>
    <w:bookmarkEnd w:id="19"/>
    <w:bookmarkStart w:id="20" w:name="authorized-audit-access"/>
    <w:p>
      <w:pPr>
        <w:pStyle w:val="Heading3"/>
      </w:pPr>
      <w:r>
        <w:t xml:space="preserve">Authorized Audit Access</w:t>
      </w:r>
    </w:p>
    <w:p>
      <w:pPr>
        <w:pStyle w:val="FirstParagraph"/>
      </w:pPr>
      <w:r>
        <w:t xml:space="preserve">When an authorized party (regulator, court under subpoena, counterparty with appropriate access grant) presents a hash, the System verifies authorization and returns the corresponding off-chain payload:</w:t>
      </w:r>
    </w:p>
    <w:p>
      <w:pPr>
        <w:pStyle w:val="Compact"/>
        <w:numPr>
          <w:ilvl w:val="0"/>
          <w:numId w:val="1007"/>
        </w:numPr>
      </w:pPr>
      <w:r>
        <w:t xml:space="preserve">Authentication of the requesting party</w:t>
      </w:r>
    </w:p>
    <w:p>
      <w:pPr>
        <w:pStyle w:val="Compact"/>
        <w:numPr>
          <w:ilvl w:val="0"/>
          <w:numId w:val="1007"/>
        </w:numPr>
      </w:pPr>
      <w:r>
        <w:t xml:space="preserve">Authorization check against the event’s access policy</w:t>
      </w:r>
    </w:p>
    <w:p>
      <w:pPr>
        <w:pStyle w:val="Compact"/>
        <w:numPr>
          <w:ilvl w:val="0"/>
          <w:numId w:val="1007"/>
        </w:numPr>
      </w:pPr>
      <w:r>
        <w:t xml:space="preserve">Retrieval of the encrypted payload from the Payload Store</w:t>
      </w:r>
    </w:p>
    <w:p>
      <w:pPr>
        <w:pStyle w:val="Compact"/>
        <w:numPr>
          <w:ilvl w:val="0"/>
          <w:numId w:val="1007"/>
        </w:numPr>
      </w:pPr>
      <w:r>
        <w:t xml:space="preserve">Decryption with the appropriate key</w:t>
      </w:r>
    </w:p>
    <w:p>
      <w:pPr>
        <w:pStyle w:val="Compact"/>
        <w:numPr>
          <w:ilvl w:val="0"/>
          <w:numId w:val="1007"/>
        </w:numPr>
      </w:pPr>
      <w:r>
        <w:t xml:space="preserve">Return of the payload to the requestor with a verifiable retrieval receipt (which is itself recorded as a child audit event — every access of a sensitive audit record is itself auditable)</w:t>
      </w:r>
    </w:p>
    <w:bookmarkEnd w:id="20"/>
    <w:bookmarkStart w:id="21" w:name="cross-industry-applications"/>
    <w:p>
      <w:pPr>
        <w:pStyle w:val="Heading3"/>
      </w:pPr>
      <w:r>
        <w:t xml:space="preserve">Cross-Industry Applications</w:t>
      </w:r>
    </w:p>
    <w:p>
      <w:pPr>
        <w:pStyle w:val="FirstParagraph"/>
      </w:pPr>
      <w:r>
        <w:t xml:space="preserve">The System contemplates application across regulated industries:</w:t>
      </w:r>
    </w:p>
    <w:p>
      <w:pPr>
        <w:pStyle w:val="BodyText"/>
      </w:pPr>
      <w:r>
        <w:rPr>
          <w:b/>
          <w:bCs/>
        </w:rPr>
        <w:t xml:space="preserve">Healthcare.</w:t>
      </w:r>
      <w:r>
        <w:t xml:space="preserve"> </w:t>
      </w:r>
      <w:r>
        <w:t xml:space="preserve">Every clinical decision support output, prior authorization decision, prescription suggestion, or medical record modification by AI-powered tools generates an audit event. HIPAA’s seven-year retention rule is enforced via the per-vertical retention policy. Joint Commission auditors can request payload retrieval against on-chain hashes.</w:t>
      </w:r>
    </w:p>
    <w:p>
      <w:pPr>
        <w:pStyle w:val="BodyText"/>
      </w:pPr>
      <w:r>
        <w:rPr>
          <w:b/>
          <w:bCs/>
        </w:rPr>
        <w:t xml:space="preserve">Financial services.</w:t>
      </w:r>
      <w:r>
        <w:t xml:space="preserve"> </w:t>
      </w:r>
      <w:r>
        <w:t xml:space="preserve">Every algorithmic trading decision, credit underwriting recommendation, compliance check, or transaction approval generates an audit event. SEC, FINRA, and CFPB requirements drive the retention policy. The on-chain anchor provides the tamper-evidence required for regulatory examinations.</w:t>
      </w:r>
    </w:p>
    <w:p>
      <w:pPr>
        <w:pStyle w:val="BodyText"/>
      </w:pPr>
      <w:r>
        <w:rPr>
          <w:b/>
          <w:bCs/>
        </w:rPr>
        <w:t xml:space="preserve">Real estate.</w:t>
      </w:r>
      <w:r>
        <w:t xml:space="preserve"> </w:t>
      </w:r>
      <w:r>
        <w:t xml:space="preserve">Title transfer recommendations, escrow release decisions, and compliance evaluations are audit-anchored, with retention policies matching state-by-state recording statute requirements.</w:t>
      </w:r>
    </w:p>
    <w:p>
      <w:pPr>
        <w:pStyle w:val="BodyText"/>
      </w:pPr>
      <w:r>
        <w:rPr>
          <w:b/>
          <w:bCs/>
        </w:rPr>
        <w:t xml:space="preserve">Aviation.</w:t>
      </w:r>
      <w:r>
        <w:t xml:space="preserve"> </w:t>
      </w:r>
      <w:r>
        <w:t xml:space="preserve">Every Pilot Decision Support output (CoPilot in the SOCIII platform’s terminology) generates an audit event. FAA airworthiness directive evaluations and flight-planning decisions are audit-anchored to support post-incident reconstruction and certification compliance.</w:t>
      </w:r>
    </w:p>
    <w:p>
      <w:pPr>
        <w:pStyle w:val="BodyText"/>
      </w:pPr>
      <w:r>
        <w:rPr>
          <w:b/>
          <w:bCs/>
        </w:rPr>
        <w:t xml:space="preserve">Government contracting.</w:t>
      </w:r>
      <w:r>
        <w:t xml:space="preserve"> </w:t>
      </w:r>
      <w:r>
        <w:t xml:space="preserve">Every FAR/DFARS compliance evaluation, set-aside qualification check, and approval routing is audit-anchored, with audit chain available for GAO inspection.</w:t>
      </w:r>
    </w:p>
    <w:p>
      <w:pPr>
        <w:pStyle w:val="BodyText"/>
      </w:pPr>
      <w:r>
        <w:rPr>
          <w:b/>
          <w:bCs/>
        </w:rPr>
        <w:t xml:space="preserve">Education.</w:t>
      </w:r>
      <w:r>
        <w:t xml:space="preserve"> </w:t>
      </w:r>
      <w:r>
        <w:t xml:space="preserve">Academic record updates, credential issuance, and disciplinary decisions are audit-anchored, with FERPA retention rules enforced.</w:t>
      </w:r>
    </w:p>
    <w:bookmarkEnd w:id="21"/>
    <w:bookmarkStart w:id="22" w:name="chain-agnostic-operation"/>
    <w:p>
      <w:pPr>
        <w:pStyle w:val="Heading3"/>
      </w:pPr>
      <w:r>
        <w:t xml:space="preserve">Chain-Agnostic Operation</w:t>
      </w:r>
    </w:p>
    <w:p>
      <w:pPr>
        <w:pStyle w:val="FirstParagraph"/>
      </w:pPr>
      <w:r>
        <w:t xml:space="preserve">The Anchor Adapter design ensures the System’s value does not depend on any single blockchain remaining operational or affordable:</w:t>
      </w:r>
    </w:p>
    <w:p>
      <w:pPr>
        <w:pStyle w:val="Compact"/>
        <w:numPr>
          <w:ilvl w:val="0"/>
          <w:numId w:val="1008"/>
        </w:numPr>
      </w:pPr>
      <w:r>
        <w:t xml:space="preserve">If Base experiences outage, the adapter can re-route to a backup chain</w:t>
      </w:r>
    </w:p>
    <w:p>
      <w:pPr>
        <w:pStyle w:val="Compact"/>
        <w:numPr>
          <w:ilvl w:val="0"/>
          <w:numId w:val="1008"/>
        </w:numPr>
      </w:pPr>
      <w:r>
        <w:t xml:space="preserve">If transaction costs on a target chain become economically unviable, the system can migrate to a more cost-effective chain</w:t>
      </w:r>
    </w:p>
    <w:p>
      <w:pPr>
        <w:pStyle w:val="Compact"/>
        <w:numPr>
          <w:ilvl w:val="0"/>
          <w:numId w:val="1008"/>
        </w:numPr>
      </w:pPr>
      <w:r>
        <w:t xml:space="preserve">If a chain ceases to exist (precedent: failed blockchain projects), the historical anchors on that chain remain verifiable from the chain’s archived state, while new anchors flow to a successor chain</w:t>
      </w:r>
    </w:p>
    <w:p>
      <w:pPr>
        <w:pStyle w:val="Compact"/>
        <w:numPr>
          <w:ilvl w:val="0"/>
          <w:numId w:val="1008"/>
        </w:numPr>
      </w:pPr>
      <w:r>
        <w:t xml:space="preserve">Permissioned chains (Hyperledger, Quorum) are supported for enterprise deployments with regulatory data-residency requirements</w:t>
      </w:r>
    </w:p>
    <w:bookmarkEnd w:id="22"/>
    <w:bookmarkStart w:id="23" w:name="confidentiality-properties"/>
    <w:p>
      <w:pPr>
        <w:pStyle w:val="Heading3"/>
      </w:pPr>
      <w:r>
        <w:t xml:space="preserve">Confidentiality Properties</w:t>
      </w:r>
    </w:p>
    <w:p>
      <w:pPr>
        <w:pStyle w:val="FirstParagraph"/>
      </w:pPr>
      <w:r>
        <w:t xml:space="preserve">The hash-on-chain / payload-off-chain split provides the System’s confidentiality guarantee:</w:t>
      </w:r>
    </w:p>
    <w:p>
      <w:pPr>
        <w:pStyle w:val="Compact"/>
        <w:numPr>
          <w:ilvl w:val="0"/>
          <w:numId w:val="1009"/>
        </w:numPr>
      </w:pPr>
      <w:r>
        <w:t xml:space="preserve">The on-chain anchor reveals only that an event of a specific hash occurred at a specific time, signed by a specific platform key</w:t>
      </w:r>
    </w:p>
    <w:p>
      <w:pPr>
        <w:pStyle w:val="Compact"/>
        <w:numPr>
          <w:ilvl w:val="0"/>
          <w:numId w:val="1009"/>
        </w:numPr>
      </w:pPr>
      <w:r>
        <w:t xml:space="preserve">The on-chain anchor does NOT reveal the acting user, the input, the output, the rule evaluations, or any sensitive content</w:t>
      </w:r>
    </w:p>
    <w:p>
      <w:pPr>
        <w:pStyle w:val="Compact"/>
        <w:numPr>
          <w:ilvl w:val="0"/>
          <w:numId w:val="1009"/>
        </w:numPr>
      </w:pPr>
      <w:r>
        <w:t xml:space="preserve">The off-chain payload is encrypted at rest and accessible only through the authenticated retrieval API</w:t>
      </w:r>
    </w:p>
    <w:p>
      <w:pPr>
        <w:pStyle w:val="Compact"/>
        <w:numPr>
          <w:ilvl w:val="0"/>
          <w:numId w:val="1009"/>
        </w:numPr>
      </w:pPr>
      <w:r>
        <w:t xml:space="preserve">Even a complete leak of the on-chain anchor data set reveals no PII, PHI, financial details, or trade secrets</w:t>
      </w:r>
    </w:p>
    <w:p>
      <w:pPr>
        <w:pStyle w:val="FirstParagraph"/>
      </w:pPr>
      <w:r>
        <w:t xml:space="preserve">This is materially different from naively storing decision data on a public blockchain (where the data is exposed forever) and from purely-off-chain audit trails (where the auditor must trust the platform’s claim that records have not been edited).</w:t>
      </w:r>
    </w:p>
    <w:bookmarkEnd w:id="23"/>
    <w:bookmarkStart w:id="24" w:name="defensive-longevity"/>
    <w:p>
      <w:pPr>
        <w:pStyle w:val="Heading3"/>
      </w:pPr>
      <w:r>
        <w:t xml:space="preserve">Defensive Longevity</w:t>
      </w:r>
    </w:p>
    <w:p>
      <w:pPr>
        <w:pStyle w:val="FirstParagraph"/>
      </w:pPr>
      <w:r>
        <w:t xml:space="preserve">The System is designed for audit records to remain verifiable beyond the platform’s lifecycle:</w:t>
      </w:r>
    </w:p>
    <w:p>
      <w:pPr>
        <w:pStyle w:val="Compact"/>
        <w:numPr>
          <w:ilvl w:val="0"/>
          <w:numId w:val="1010"/>
        </w:numPr>
      </w:pPr>
      <w:r>
        <w:t xml:space="preserve">On-chain anchors are written to public blockchains that persist independently of the platform</w:t>
      </w:r>
    </w:p>
    <w:p>
      <w:pPr>
        <w:pStyle w:val="Compact"/>
        <w:numPr>
          <w:ilvl w:val="0"/>
          <w:numId w:val="1010"/>
        </w:numPr>
      </w:pPr>
      <w:r>
        <w:t xml:space="preserve">Any party with a local copy of the off-chain payload can verify against the on-chain anchor at any future time using the standard cryptographic primitives (hash, signature verification)</w:t>
      </w:r>
    </w:p>
    <w:p>
      <w:pPr>
        <w:pStyle w:val="Compact"/>
        <w:numPr>
          <w:ilvl w:val="0"/>
          <w:numId w:val="1010"/>
        </w:numPr>
      </w:pPr>
      <w:r>
        <w:t xml:space="preserve">If the platform ceases to exist, regulators or courts that have previously retrieved payloads can still verify those payloads against the chain</w:t>
      </w:r>
    </w:p>
    <w:p>
      <w:pPr>
        <w:pStyle w:val="Compact"/>
        <w:numPr>
          <w:ilvl w:val="0"/>
          <w:numId w:val="1010"/>
        </w:numPr>
      </w:pPr>
      <w:r>
        <w:t xml:space="preserve">New anchors cease being written (no successor platform creating new audit events) but the historical audit chain remains intact and verifiable indefinitely</w:t>
      </w:r>
    </w:p>
    <w:p>
      <w:r>
        <w:pict>
          <v:rect style="width:0;height:1.5pt" o:hralign="center" o:hrstd="t" o:hr="t"/>
        </w:pict>
      </w:r>
    </w:p>
    <w:bookmarkEnd w:id="24"/>
    <w:bookmarkEnd w:id="25"/>
    <w:bookmarkStart w:id="26" w:name="brief-description-of-the-drawings"/>
    <w:p>
      <w:pPr>
        <w:pStyle w:val="Heading2"/>
      </w:pPr>
      <w:r>
        <w:t xml:space="preserve">BRIEF DESCRIPTION OF THE DRAWINGS</w:t>
      </w:r>
    </w:p>
    <w:p>
      <w:pPr>
        <w:pStyle w:val="FirstParagraph"/>
      </w:pPr>
      <w:r>
        <w:t xml:space="preserve">(To be supplied with formal drawings prior to filing.)</w:t>
      </w:r>
    </w:p>
    <w:p>
      <w:pPr>
        <w:pStyle w:val="BodyText"/>
      </w:pPr>
      <w:r>
        <w:rPr>
          <w:b/>
          <w:bCs/>
        </w:rPr>
        <w:t xml:space="preserve">Figure 1:</w:t>
      </w:r>
      <w:r>
        <w:t xml:space="preserve"> </w:t>
      </w:r>
      <w:r>
        <w:t xml:space="preserve">System architecture overview showing Event Composer, Hash-and-Sign Service, Anchor Adapter, Payload Store, and Hash-Keyed Retrieval API.</w:t>
      </w:r>
    </w:p>
    <w:p>
      <w:pPr>
        <w:pStyle w:val="BodyText"/>
      </w:pPr>
      <w:r>
        <w:rPr>
          <w:b/>
          <w:bCs/>
        </w:rPr>
        <w:t xml:space="preserve">Figure 2:</w:t>
      </w:r>
      <w:r>
        <w:t xml:space="preserve"> </w:t>
      </w:r>
      <w:r>
        <w:t xml:space="preserve">Audit event schema showing all required fields with example values for a representative governance decision.</w:t>
      </w:r>
    </w:p>
    <w:p>
      <w:pPr>
        <w:pStyle w:val="BodyText"/>
      </w:pPr>
      <w:r>
        <w:rPr>
          <w:b/>
          <w:bCs/>
        </w:rPr>
        <w:t xml:space="preserve">Figure 3:</w:t>
      </w:r>
      <w:r>
        <w:t xml:space="preserve"> </w:t>
      </w:r>
      <w:r>
        <w:t xml:space="preserve">Audit event lifecycle flow diagram showing the ten stages from trigger through anchor and payload persistence.</w:t>
      </w:r>
    </w:p>
    <w:p>
      <w:pPr>
        <w:pStyle w:val="BodyText"/>
      </w:pPr>
      <w:r>
        <w:rPr>
          <w:b/>
          <w:bCs/>
        </w:rPr>
        <w:t xml:space="preserve">Figure 4:</w:t>
      </w:r>
      <w:r>
        <w:t xml:space="preserve"> </w:t>
      </w:r>
      <w:r>
        <w:t xml:space="preserve">Authorized audit access flow showing authentication, authorization, decryption, and child-event recording for access auditing.</w:t>
      </w:r>
    </w:p>
    <w:p>
      <w:pPr>
        <w:pStyle w:val="BodyText"/>
      </w:pPr>
      <w:r>
        <w:rPr>
          <w:b/>
          <w:bCs/>
        </w:rPr>
        <w:t xml:space="preserve">Figure 5:</w:t>
      </w:r>
      <w:r>
        <w:t xml:space="preserve"> </w:t>
      </w:r>
      <w:r>
        <w:t xml:space="preserve">Chain-agnostic anchor adapter architecture showing the uniform interface and chain-specific implementations (Base, Ethereum, Polygon, Solana, Avalanche, Hyperledger).</w:t>
      </w:r>
    </w:p>
    <w:p>
      <w:pPr>
        <w:pStyle w:val="BodyText"/>
      </w:pPr>
      <w:r>
        <w:rPr>
          <w:b/>
          <w:bCs/>
        </w:rPr>
        <w:t xml:space="preserve">Figure 6:</w:t>
      </w:r>
      <w:r>
        <w:t xml:space="preserve"> </w:t>
      </w:r>
      <w:r>
        <w:t xml:space="preserve">Confidentiality split diagram showing what is and is not visible on-chain vs. off-chain.</w:t>
      </w:r>
    </w:p>
    <w:p>
      <w:pPr>
        <w:pStyle w:val="BodyText"/>
      </w:pPr>
      <w:r>
        <w:rPr>
          <w:b/>
          <w:bCs/>
        </w:rPr>
        <w:t xml:space="preserve">Figure 7:</w:t>
      </w:r>
      <w:r>
        <w:t xml:space="preserve"> </w:t>
      </w:r>
      <w:r>
        <w:t xml:space="preserve">Cross-industry application matrix showing how the architecture serves healthcare, financial services, real estate, aviation, government contracting, and education.</w:t>
      </w:r>
    </w:p>
    <w:p>
      <w:r>
        <w:pict>
          <v:rect style="width:0;height:1.5pt" o:hralign="center" o:hrstd="t" o:hr="t"/>
        </w:pict>
      </w:r>
    </w:p>
    <w:bookmarkEnd w:id="26"/>
    <w:bookmarkStart w:id="27" w:name="claims"/>
    <w:p>
      <w:pPr>
        <w:pStyle w:val="Heading2"/>
      </w:pPr>
      <w:r>
        <w:t xml:space="preserve">CLAIMS</w:t>
      </w:r>
    </w:p>
    <w:p>
      <w:pPr>
        <w:pStyle w:val="FirstParagraph"/>
      </w:pPr>
      <w:r>
        <w:t xml:space="preserve">(Provisional claims; non-limiting.)</w:t>
      </w:r>
    </w:p>
    <w:p>
      <w:pPr>
        <w:pStyle w:val="BodyText"/>
      </w:pPr>
      <w:r>
        <w:rPr>
          <w:b/>
          <w:bCs/>
        </w:rPr>
        <w:t xml:space="preserve">Claim 1.</w:t>
      </w:r>
      <w:r>
        <w:t xml:space="preserve"> </w:t>
      </w:r>
      <w:r>
        <w:t xml:space="preserve">A computer-implemented audit trail system for AI-powered governance decisions, the system comprising:</w:t>
      </w:r>
      <w:r>
        <w:t xml:space="preserve"> </w:t>
      </w:r>
      <w:r>
        <w:t xml:space="preserve">(a) an event composer service that assembles, for each governance decision, an event record comprising at least an event identifier, timestamp, AI worker identifier and version, user identity attestation reference, pinned rule-set version reference, input context, rule evaluation outcome, output, action outcome, and platform signing identifier;</w:t>
      </w:r>
      <w:r>
        <w:t xml:space="preserve"> </w:t>
      </w:r>
      <w:r>
        <w:t xml:space="preserve">(b) a hash-and-sign service that produces a cryptographic hash of the event record and signs the hash with the platform’s private key;</w:t>
      </w:r>
      <w:r>
        <w:t xml:space="preserve"> </w:t>
      </w:r>
      <w:r>
        <w:t xml:space="preserve">(c) a chain-agnostic anchor adapter that writes the signed hash to a target public blockchain;</w:t>
      </w:r>
      <w:r>
        <w:t xml:space="preserve"> </w:t>
      </w:r>
      <w:r>
        <w:t xml:space="preserve">(d) an append-only off-chain payload store that retains the full event record with row-level encryption and access policy enforcement; and</w:t>
      </w:r>
      <w:r>
        <w:t xml:space="preserve"> </w:t>
      </w:r>
      <w:r>
        <w:t xml:space="preserve">(e) a hash-keyed retrieval API providing authorized parties with access to the off-chain payload corresponding to a given on-chain hash.</w:t>
      </w:r>
    </w:p>
    <w:p>
      <w:pPr>
        <w:pStyle w:val="BodyText"/>
      </w:pPr>
      <w:r>
        <w:rPr>
          <w:b/>
          <w:bCs/>
        </w:rPr>
        <w:t xml:space="preserve">Claim 2.</w:t>
      </w:r>
      <w:r>
        <w:t xml:space="preserve"> </w:t>
      </w:r>
      <w:r>
        <w:t xml:space="preserve">The system of Claim 1, wherein the chain-agnostic anchor adapter supports anchoring to blockchains including but not limited to Base, Ethereum, Polygon, Solana, Avalanche, and permissioned Hyperledger Fabric.</w:t>
      </w:r>
    </w:p>
    <w:p>
      <w:pPr>
        <w:pStyle w:val="BodyText"/>
      </w:pPr>
      <w:r>
        <w:rPr>
          <w:b/>
          <w:bCs/>
        </w:rPr>
        <w:t xml:space="preserve">Claim 3.</w:t>
      </w:r>
      <w:r>
        <w:t xml:space="preserve"> </w:t>
      </w:r>
      <w:r>
        <w:t xml:space="preserve">The system of Claim 1, wherein the pinned rule-set version is a cryptographic content hash uniquely identifying the composed rule set in effect at the time of the event, enabling reconstruction of the exact rules under which the decision was made.</w:t>
      </w:r>
    </w:p>
    <w:p>
      <w:pPr>
        <w:pStyle w:val="BodyText"/>
      </w:pPr>
      <w:r>
        <w:rPr>
          <w:b/>
          <w:bCs/>
        </w:rPr>
        <w:t xml:space="preserve">Claim 4.</w:t>
      </w:r>
      <w:r>
        <w:t xml:space="preserve"> </w:t>
      </w:r>
      <w:r>
        <w:t xml:space="preserve">The system of Claim 1, wherein the user identity attestation reference is a cryptographic pointer to a separately-issued attestation from a hosted identity rail, providing a verifiable chain from action through composed rules to user identity without exposing personally-identifiable information on the public blockchain.</w:t>
      </w:r>
    </w:p>
    <w:p>
      <w:pPr>
        <w:pStyle w:val="BodyText"/>
      </w:pPr>
      <w:r>
        <w:rPr>
          <w:b/>
          <w:bCs/>
        </w:rPr>
        <w:t xml:space="preserve">Claim 5.</w:t>
      </w:r>
      <w:r>
        <w:t xml:space="preserve"> </w:t>
      </w:r>
      <w:r>
        <w:t xml:space="preserve">The system of Claim 1, wherein the off-chain payload store enforces retention policies derived from the vertical-specific rules in the composed rule set, including but not limited to seven-year retention for HIPAA-governed healthcare events.</w:t>
      </w:r>
    </w:p>
    <w:p>
      <w:pPr>
        <w:pStyle w:val="BodyText"/>
      </w:pPr>
      <w:r>
        <w:rPr>
          <w:b/>
          <w:bCs/>
        </w:rPr>
        <w:t xml:space="preserve">Claim 6.</w:t>
      </w:r>
      <w:r>
        <w:t xml:space="preserve"> </w:t>
      </w:r>
      <w:r>
        <w:t xml:space="preserve">The system of Claim 1, wherein each authorized retrieval through the hash-keyed retrieval API generates a child audit event recorded to the audit chain, providing audit-of-audit-access capability.</w:t>
      </w:r>
    </w:p>
    <w:p>
      <w:pPr>
        <w:pStyle w:val="BodyText"/>
      </w:pPr>
      <w:r>
        <w:rPr>
          <w:b/>
          <w:bCs/>
        </w:rPr>
        <w:t xml:space="preserve">Claim 7.</w:t>
      </w:r>
      <w:r>
        <w:t xml:space="preserve"> </w:t>
      </w:r>
      <w:r>
        <w:t xml:space="preserve">A method for creating a tamper-evident audit record for an AI-mediated governance decision, the method comprising:</w:t>
      </w:r>
      <w:r>
        <w:t xml:space="preserve"> </w:t>
      </w:r>
      <w:r>
        <w:t xml:space="preserve">(a) composing an event record including the elements specified in Claim 1;</w:t>
      </w:r>
      <w:r>
        <w:t xml:space="preserve"> </w:t>
      </w:r>
      <w:r>
        <w:t xml:space="preserve">(b) computing a cryptographic hash of the event record;</w:t>
      </w:r>
      <w:r>
        <w:t xml:space="preserve"> </w:t>
      </w:r>
      <w:r>
        <w:t xml:space="preserve">(c) signing the hash with a platform private key;</w:t>
      </w:r>
      <w:r>
        <w:t xml:space="preserve"> </w:t>
      </w:r>
      <w:r>
        <w:t xml:space="preserve">(d) writing the signed hash to a public blockchain through a chain-agnostic adapter;</w:t>
      </w:r>
      <w:r>
        <w:t xml:space="preserve"> </w:t>
      </w:r>
      <w:r>
        <w:t xml:space="preserve">(e) persisting the full event record to append-only off-chain storage with row-level encryption; and</w:t>
      </w:r>
      <w:r>
        <w:t xml:space="preserve"> </w:t>
      </w:r>
      <w:r>
        <w:t xml:space="preserve">(f) returning the event hash to the calling system.</w:t>
      </w:r>
    </w:p>
    <w:p>
      <w:pPr>
        <w:pStyle w:val="BodyText"/>
      </w:pPr>
      <w:r>
        <w:rPr>
          <w:b/>
          <w:bCs/>
        </w:rPr>
        <w:t xml:space="preserve">Claim 8.</w:t>
      </w:r>
      <w:r>
        <w:t xml:space="preserve"> </w:t>
      </w:r>
      <w:r>
        <w:t xml:space="preserve">The method of Claim 7, further comprising verifying audit records by:</w:t>
      </w:r>
      <w:r>
        <w:t xml:space="preserve"> </w:t>
      </w:r>
      <w:r>
        <w:t xml:space="preserve">(a) retrieving the on-chain anchor at the recorded transaction reference;</w:t>
      </w:r>
      <w:r>
        <w:t xml:space="preserve"> </w:t>
      </w:r>
      <w:r>
        <w:t xml:space="preserve">(b) verifying the platform signature on the on-chain hash;</w:t>
      </w:r>
      <w:r>
        <w:t xml:space="preserve"> </w:t>
      </w:r>
      <w:r>
        <w:t xml:space="preserve">(c) retrieving the off-chain payload through the hash-keyed retrieval API;</w:t>
      </w:r>
      <w:r>
        <w:t xml:space="preserve"> </w:t>
      </w:r>
      <w:r>
        <w:t xml:space="preserve">(d) re-computing the hash of the retrieved payload; and</w:t>
      </w:r>
      <w:r>
        <w:t xml:space="preserve"> </w:t>
      </w:r>
      <w:r>
        <w:t xml:space="preserve">(e) confirming the re-computed hash matches the on-chain anchor.</w:t>
      </w:r>
    </w:p>
    <w:p>
      <w:pPr>
        <w:pStyle w:val="BodyText"/>
      </w:pPr>
      <w:r>
        <w:rPr>
          <w:b/>
          <w:bCs/>
        </w:rPr>
        <w:t xml:space="preserve">Claim 9.</w:t>
      </w:r>
      <w:r>
        <w:t xml:space="preserve"> </w:t>
      </w:r>
      <w:r>
        <w:t xml:space="preserve">The system of Claim 1, applied to healthcare wherein the composed rule set enforces HIPAA-compliant access controls within the off-chain payload retrieval API.</w:t>
      </w:r>
    </w:p>
    <w:p>
      <w:pPr>
        <w:pStyle w:val="BodyText"/>
      </w:pPr>
      <w:r>
        <w:rPr>
          <w:b/>
          <w:bCs/>
        </w:rPr>
        <w:t xml:space="preserve">Claim 10.</w:t>
      </w:r>
      <w:r>
        <w:t xml:space="preserve"> </w:t>
      </w:r>
      <w:r>
        <w:t xml:space="preserve">The system of Claim 1, applied to financial services wherein each algorithmic trading decision, credit underwriting recommendation, or transaction approval generates an audit event with the relevant regulatory retention policy enforced.</w:t>
      </w:r>
    </w:p>
    <w:p>
      <w:pPr>
        <w:pStyle w:val="BodyText"/>
      </w:pPr>
      <w:r>
        <w:rPr>
          <w:b/>
          <w:bCs/>
        </w:rPr>
        <w:t xml:space="preserve">Claim 11.</w:t>
      </w:r>
      <w:r>
        <w:t xml:space="preserve"> </w:t>
      </w:r>
      <w:r>
        <w:t xml:space="preserve">The system of Claim 1, applied to real estate transactions wherein title transfer evaluations and escrow release decisions are audit-anchored with retention matching state-by-state recording statute requirements.</w:t>
      </w:r>
    </w:p>
    <w:p>
      <w:pPr>
        <w:pStyle w:val="BodyText"/>
      </w:pPr>
      <w:r>
        <w:rPr>
          <w:b/>
          <w:bCs/>
        </w:rPr>
        <w:t xml:space="preserve">Claim 12.</w:t>
      </w:r>
      <w:r>
        <w:t xml:space="preserve"> </w:t>
      </w:r>
      <w:r>
        <w:t xml:space="preserve">The system of Claim 1, wherein the system continues to provide verifiability of historical audit records after the operating platform ceases to exist, through the persistence of on-chain anchors on the public blockchain and any party’s local retention of corresponding off-chain payloads.</w:t>
      </w:r>
    </w:p>
    <w:p>
      <w:pPr>
        <w:pStyle w:val="BodyText"/>
      </w:pPr>
      <w:r>
        <w:rPr>
          <w:b/>
          <w:bCs/>
        </w:rPr>
        <w:t xml:space="preserve">Claim 13.</w:t>
      </w:r>
      <w:r>
        <w:t xml:space="preserve"> </w:t>
      </w:r>
      <w:r>
        <w:t xml:space="preserve">The system of Claim 1, wherein audit events are linked into a hash chain by including the prior event’s hash in the current event’s payload, providing additional tamper-evidence properties (any tampering with a historical event invalidates the hash chain of all subsequent events).</w:t>
      </w:r>
    </w:p>
    <w:p>
      <w:pPr>
        <w:pStyle w:val="BodyText"/>
      </w:pPr>
      <w:r>
        <w:rPr>
          <w:b/>
          <w:bCs/>
        </w:rPr>
        <w:t xml:space="preserve">Claim 14.</w:t>
      </w:r>
      <w:r>
        <w:t xml:space="preserve"> </w:t>
      </w:r>
      <w:r>
        <w:t xml:space="preserve">The system of Claim 1, applied to aviation wherein every Pilot Decision Support output, airworthiness directive evaluation, and flight planning decision generates an audit event supporting post-incident reconstruction and FAA certification compliance.</w:t>
      </w:r>
    </w:p>
    <w:p>
      <w:pPr>
        <w:pStyle w:val="BodyText"/>
      </w:pPr>
      <w:r>
        <w:rPr>
          <w:b/>
          <w:bCs/>
        </w:rPr>
        <w:t xml:space="preserve">Claim 15.</w:t>
      </w:r>
      <w:r>
        <w:t xml:space="preserve"> </w:t>
      </w:r>
      <w:r>
        <w:t xml:space="preserve">The system of Claim 1, wherein the off-chain payload encryption uses keys derived from a platform master key and the event hash, ensuring that compromise of a single event’s decryption does not expose unrelated events.</w:t>
      </w:r>
    </w:p>
    <w:p>
      <w:r>
        <w:pict>
          <v:rect style="width:0;height:1.5pt" o:hralign="center" o:hrstd="t" o:hr="t"/>
        </w:pict>
      </w:r>
    </w:p>
    <w:bookmarkEnd w:id="27"/>
    <w:bookmarkStart w:id="28" w:name="abstract"/>
    <w:p>
      <w:pPr>
        <w:pStyle w:val="Heading2"/>
      </w:pPr>
      <w:r>
        <w:t xml:space="preserve">ABSTRACT</w:t>
      </w:r>
    </w:p>
    <w:p>
      <w:pPr>
        <w:pStyle w:val="FirstParagraph"/>
      </w:pPr>
      <w:r>
        <w:t xml:space="preserve">An Identity-Anchored Hash-Chain Audit Trail System for AI-powered governance decisions, comprising an event composer producing structured records containing acting AI worker identifier, user identity attestation reference, pinned rule-set version, input context, rule evaluation outcomes, output, and action outcome; a hash-and-sign service producing platform-signed cryptographic hashes; a chain-agnostic anchor adapter writing signed hashes to public blockchains (Base, Ethereum, Polygon, Solana, Avalanche, or permissioned chains); an append-only off-chain payload store with row-level encryption and access policy enforcement; and a hash-keyed retrieval API providing authorized parties with access to off-chain payloads given on-chain hash references. The System extends prior art parent-child DTC architecture (cited as foundation) by providing the audit composition layer that binds AI governance decisions to identity, to pinned rule sets, and to immutable proof-of-existence in a manner preserving confidentiality of underlying payloads while providing strong tamper-evidence properties. Cross-industry application across healthcare, financial services, real estate, aviation, government contracting, education, and any other regulated domain requiring auditable AI-mediated decisions. Defensive longevity: audit records remain verifiable even after the operating platform ceases to exist.</w:t>
      </w:r>
    </w:p>
    <w:p>
      <w:r>
        <w:pict>
          <v:rect style="width:0;height:1.5pt" o:hralign="center" o:hrstd="t" o:hr="t"/>
        </w:pict>
      </w:r>
    </w:p>
    <w:bookmarkEnd w:id="28"/>
    <w:bookmarkStart w:id="29" w:name="inventorship-and-assignment-notes"/>
    <w:p>
      <w:pPr>
        <w:pStyle w:val="Heading2"/>
      </w:pPr>
      <w:r>
        <w:t xml:space="preserve">INVENTORSHIP AND ASSIGNMENT NOTES</w:t>
      </w:r>
    </w:p>
    <w:p>
      <w:pPr>
        <w:pStyle w:val="FirstParagraph"/>
      </w:pPr>
      <w:r>
        <w:rPr>
          <w:b/>
          <w:bCs/>
        </w:rPr>
        <w:t xml:space="preserve">Named Inventor:</w:t>
      </w:r>
      <w:r>
        <w:t xml:space="preserve"> </w:t>
      </w:r>
      <w:r>
        <w:t xml:space="preserve">Sean Lee Combs, sole inventor.</w:t>
      </w:r>
    </w:p>
    <w:p>
      <w:pPr>
        <w:pStyle w:val="BodyText"/>
      </w:pPr>
      <w:r>
        <w:rPr>
          <w:b/>
          <w:bCs/>
        </w:rPr>
        <w:t xml:space="preserve">Applicant:</w:t>
      </w:r>
      <w:r>
        <w:t xml:space="preserve"> </w:t>
      </w:r>
      <w:r>
        <w:t xml:space="preserve">SOCIII Inc., a Delaware C-corporation.</w:t>
      </w:r>
    </w:p>
    <w:p>
      <w:pPr>
        <w:pStyle w:val="BodyText"/>
      </w:pPr>
      <w:r>
        <w:rPr>
          <w:b/>
          <w:bCs/>
        </w:rPr>
        <w:t xml:space="preserve">Strategic significance for fundraise:</w:t>
      </w:r>
      <w:r>
        <w:t xml:space="preserve"> </w:t>
      </w:r>
      <w:r>
        <w:t xml:space="preserve">This is the audit moat patent. Institutional investors evaluating SOCIII as a platform for regulated-industry AI deployment treat the audit trail architecture as the verifiable governance claim — without it, any AI agent is</w:t>
      </w:r>
      <w:r>
        <w:t xml:space="preserve"> </w:t>
      </w:r>
      <w:r>
        <w:t xml:space="preserve">“vibes-based compliance,”</w:t>
      </w:r>
      <w:r>
        <w:t xml:space="preserve"> </w:t>
      </w:r>
      <w:r>
        <w:t xml:space="preserve">and regulated buyers cannot rely on it. With this filing in the patent family, SOCIII has IP protection on the specific architecture that makes AI-driven governance auditable in regulated industries. The combination of (a) hash-on-chain + payload-off-chain split, (b) version-pinned rule sets, (c) identity anchoring, and (d) chain-agnostic operation is the structural moat against any competitor attempting to commoditize the audit layer.</w:t>
      </w:r>
    </w:p>
    <w:p>
      <w:pPr>
        <w:pStyle w:val="BodyText"/>
      </w:pPr>
      <w:r>
        <w:rPr>
          <w:b/>
          <w:bCs/>
        </w:rPr>
        <w:t xml:space="preserve">Cross-filing note:</w:t>
      </w:r>
      <w:r>
        <w:t xml:space="preserve"> </w:t>
      </w:r>
      <w:r>
        <w:t xml:space="preserve">This filing references and is referenced by Filing 2 (Knowledge Capture Pipeline) in the same filing cycle and by the four deferred filings (AI Escrow Locker, Title and Property Assurance, RAAS Multi-Tier Composable Rules, Build-Without-Code) targeting June 2026. Together they form a patent family with this audit-trail filing as the foundational governance-provenance layer that the others build on.</w:t>
      </w:r>
    </w:p>
    <w:p>
      <w:r>
        <w:pict>
          <v:rect style="width:0;height:1.5pt" o:hralign="center" o:hrstd="t" o:hr="t"/>
        </w:pict>
      </w:r>
    </w:p>
    <w:p>
      <w:pPr>
        <w:pStyle w:val="FirstParagraph"/>
      </w:pPr>
      <w:r>
        <w:rPr>
          <w:i/>
          <w:iCs/>
        </w:rPr>
        <w:t xml:space="preserve">End of Filing 1 draft. Sean to review, refine claim language, and add formal drawings before USPTO submission.</w:t>
      </w:r>
    </w:p>
    <w:bookmarkEnd w:id="29"/>
    <w:bookmarkEnd w:id="30"/>
    <w:bookmarkStart w:id="31" w:name="X0aa2a959176f8a9198deb3fc468a42c61937d4e"/>
    <w:p>
      <w:pPr>
        <w:pStyle w:val="Heading1"/>
      </w:pPr>
      <w:r>
        <w:t xml:space="preserve">Filing 2 — Knowledge Capture Pipeline (App # 64/073,693)</w:t>
      </w:r>
    </w:p>
    <w:bookmarkEnd w:id="31"/>
    <w:bookmarkStart w:id="55" w:name="Xe7ae67eecfb0a40659a7b761033447ba8ffbef3"/>
    <w:p>
      <w:pPr>
        <w:pStyle w:val="Heading1"/>
      </w:pPr>
      <w:r>
        <w:t xml:space="preserve">Filing 2 — Knowledge Capture Pipeline for Converting Human Expert Conversations into Governed AI-Powered Digital Workers</w:t>
      </w:r>
    </w:p>
    <w:p>
      <w:pPr>
        <w:pStyle w:val="FirstParagraph"/>
      </w:pPr>
      <w:r>
        <w:rPr>
          <w:b/>
          <w:bCs/>
        </w:rPr>
        <w:t xml:space="preserve">Type:</w:t>
      </w:r>
      <w:r>
        <w:t xml:space="preserve"> </w:t>
      </w:r>
      <w:r>
        <w:t xml:space="preserve">Provisional Patent Application (35 U.S.C. § 111(b))</w:t>
      </w:r>
      <w:r>
        <w:t xml:space="preserve"> </w:t>
      </w:r>
      <w:r>
        <w:rPr>
          <w:b/>
          <w:bCs/>
        </w:rPr>
        <w:t xml:space="preserve">Filing target:</w:t>
      </w:r>
      <w:r>
        <w:t xml:space="preserve"> </w:t>
      </w:r>
      <w:r>
        <w:t xml:space="preserve">Sun 2026-05-24 via USPTO EFS-Web</w:t>
      </w:r>
      <w:r>
        <w:t xml:space="preserve"> </w:t>
      </w:r>
      <w:r>
        <w:rPr>
          <w:b/>
          <w:bCs/>
        </w:rPr>
        <w:t xml:space="preserve">Applicant:</w:t>
      </w:r>
      <w:r>
        <w:t xml:space="preserve"> </w:t>
      </w:r>
      <w:r>
        <w:t xml:space="preserve">SOCIII Inc. (Delaware C-corporation)</w:t>
      </w:r>
      <w:r>
        <w:t xml:space="preserve"> </w:t>
      </w:r>
      <w:r>
        <w:rPr>
          <w:b/>
          <w:bCs/>
        </w:rPr>
        <w:t xml:space="preserve">Named Inventor:</w:t>
      </w:r>
      <w:r>
        <w:t xml:space="preserve"> </w:t>
      </w:r>
      <w:r>
        <w:t xml:space="preserve">Sean Lee Combs</w:t>
      </w:r>
      <w:r>
        <w:t xml:space="preserve"> </w:t>
      </w:r>
      <w:r>
        <w:rPr>
          <w:b/>
          <w:bCs/>
        </w:rPr>
        <w:t xml:space="preserve">Small entity status:</w:t>
      </w:r>
      <w:r>
        <w:t xml:space="preserve"> </w:t>
      </w:r>
      <w:r>
        <w:t xml:space="preserve">Yes</w:t>
      </w:r>
      <w:r>
        <w:t xml:space="preserve"> </w:t>
      </w:r>
      <w:r>
        <w:rPr>
          <w:b/>
          <w:bCs/>
        </w:rPr>
        <w:t xml:space="preserve">Estimated filing fee:</w:t>
      </w:r>
      <w:r>
        <w:t xml:space="preserve"> </w:t>
      </w:r>
      <w:r>
        <w:t xml:space="preserve">$120</w:t>
      </w:r>
    </w:p>
    <w:p>
      <w:r>
        <w:pict>
          <v:rect style="width:0;height:1.5pt" o:hralign="center" o:hrstd="t" o:hr="t"/>
        </w:pict>
      </w:r>
    </w:p>
    <w:bookmarkStart w:id="32" w:name="title-of-invention-1"/>
    <w:p>
      <w:pPr>
        <w:pStyle w:val="Heading2"/>
      </w:pPr>
      <w:r>
        <w:t xml:space="preserve">TITLE OF INVENTION</w:t>
      </w:r>
    </w:p>
    <w:p>
      <w:pPr>
        <w:pStyle w:val="FirstParagraph"/>
      </w:pPr>
      <w:r>
        <w:rPr>
          <w:b/>
          <w:bCs/>
        </w:rPr>
        <w:t xml:space="preserve">Knowledge Capture Pipeline for Converting Human Expert Conversations into Governed AI-Powered Digital Workers with Structured Rule Extraction, Worker Fixture Generation, and Terminal Worker Safety Architecture</w:t>
      </w:r>
    </w:p>
    <w:p>
      <w:r>
        <w:pict>
          <v:rect style="width:0;height:1.5pt" o:hralign="center" o:hrstd="t" o:hr="t"/>
        </w:pict>
      </w:r>
    </w:p>
    <w:bookmarkEnd w:id="32"/>
    <w:bookmarkStart w:id="33" w:name="field-of-the-invention-1"/>
    <w:p>
      <w:pPr>
        <w:pStyle w:val="Heading2"/>
      </w:pPr>
      <w:r>
        <w:t xml:space="preserve">FIELD OF THE INVENTION</w:t>
      </w:r>
    </w:p>
    <w:p>
      <w:pPr>
        <w:pStyle w:val="FirstParagraph"/>
      </w:pPr>
      <w:r>
        <w:t xml:space="preserve">The present invention relates to systems for converting tacit human expertise into deployable AI-powered software agents, and more particularly to a pipeline architecture wherein conversations between human domain experts and AI assistants are automatically ingested, mined for structured rules and decision patterns, and packaged as reusable worker fixtures that allow subsequent users without the original expert’s knowledge to invoke equivalent expert decision support through the same AI-powered platform — with a Terminal Worker safety architecture that allows authoring of new workers through natural conversation while structurally preventing the authoring conversation from causing harm.</w:t>
      </w:r>
    </w:p>
    <w:p>
      <w:r>
        <w:pict>
          <v:rect style="width:0;height:1.5pt" o:hralign="center" o:hrstd="t" o:hr="t"/>
        </w:pict>
      </w:r>
    </w:p>
    <w:bookmarkEnd w:id="33"/>
    <w:bookmarkStart w:id="39" w:name="background-of-the-invention-1"/>
    <w:p>
      <w:pPr>
        <w:pStyle w:val="Heading2"/>
      </w:pPr>
      <w:r>
        <w:t xml:space="preserve">BACKGROUND OF THE INVENTION</w:t>
      </w:r>
    </w:p>
    <w:bookmarkStart w:id="34" w:name="continuous-invention-thread-1"/>
    <w:p>
      <w:pPr>
        <w:pStyle w:val="Heading3"/>
      </w:pPr>
      <w:r>
        <w:t xml:space="preserve">Continuous Invention Thread</w:t>
      </w:r>
    </w:p>
    <w:p>
      <w:pPr>
        <w:pStyle w:val="FirstParagraph"/>
      </w:pPr>
      <w:r>
        <w:t xml:space="preserve">This invention extends a continuous body of work in AI-mediated governance and parent-child digital identity architecture, including U.S. Patent Application No. 18/398,973 (Combs, filed December 28, 2023; abandoned in prosecution and published as prior art approximately June 28, 2025) which disclosed foundational parent-child Digital Title Certificate (DTC) architecture, and the December 2024 Blockchain Logbook System filing (Combs) which extended that architecture to dynamically-updatable logbook records. The present invention contributes a focused architectural pattern claiming the</w:t>
      </w:r>
      <w:r>
        <w:t xml:space="preserve"> </w:t>
      </w:r>
      <w:r>
        <w:rPr>
          <w:b/>
          <w:bCs/>
        </w:rPr>
        <w:t xml:space="preserve">knowledge capture pipeline</w:t>
      </w:r>
      <w:r>
        <w:t xml:space="preserve"> </w:t>
      </w:r>
      <w:r>
        <w:t xml:space="preserve">— the specific architecture by which expert conversations with AI systems are systematically converted into reusable governed worker capabilities, with a safety architecture (the Terminal Worker pattern) that allows non-engineers to participate in worker authoring without code-level access.</w:t>
      </w:r>
    </w:p>
    <w:bookmarkEnd w:id="34"/>
    <w:bookmarkStart w:id="35" w:name="public-disclosure-note"/>
    <w:p>
      <w:pPr>
        <w:pStyle w:val="Heading3"/>
      </w:pPr>
      <w:r>
        <w:t xml:space="preserve">Public Disclosure Note</w:t>
      </w:r>
    </w:p>
    <w:p>
      <w:pPr>
        <w:pStyle w:val="FirstParagraph"/>
      </w:pPr>
      <w:r>
        <w:t xml:space="preserve">A technical specification of the Knowledge Capture Pipeline architecture was previously published as</w:t>
      </w:r>
      <w:r>
        <w:t xml:space="preserve"> </w:t>
      </w:r>
      <w:r>
        <w:rPr>
          <w:b/>
          <w:bCs/>
        </w:rPr>
        <w:t xml:space="preserve">CODEX 51.4</w:t>
      </w:r>
      <w:r>
        <w:t xml:space="preserve"> </w:t>
      </w:r>
      <w:r>
        <w:t xml:space="preserve">in the SOCIII platform’s public documentation repository on approximately 2026-05-19. Under 35 U.S.C. § 102(b)(1), the 12-month grace period for the inventor’s own prior disclosure remains open at the time of this filing. This application is timely.</w:t>
      </w:r>
    </w:p>
    <w:bookmarkEnd w:id="35"/>
    <w:bookmarkStart w:id="36" w:name="background-the-expertise-capture-problem"/>
    <w:p>
      <w:pPr>
        <w:pStyle w:val="Heading3"/>
      </w:pPr>
      <w:r>
        <w:t xml:space="preserve">Background — The Expertise Capture Problem</w:t>
      </w:r>
    </w:p>
    <w:p>
      <w:pPr>
        <w:pStyle w:val="FirstParagraph"/>
      </w:pPr>
      <w:r>
        <w:t xml:space="preserve">Deploying AI-powered software agents (large-language-model-based assistants, decision-support systems, autonomous workflow execution) in regulated industries requires the agents to operate within the rules, conventions, and accumulated wisdom of human domain experts. The standard practice for endowing AI systems with this expertise has serious limitations:</w:t>
      </w:r>
    </w:p>
    <w:p>
      <w:pPr>
        <w:numPr>
          <w:ilvl w:val="0"/>
          <w:numId w:val="1011"/>
        </w:numPr>
      </w:pPr>
      <w:r>
        <w:rPr>
          <w:b/>
          <w:bCs/>
        </w:rPr>
        <w:t xml:space="preserve">Prompt engineering by hand.</w:t>
      </w:r>
      <w:r>
        <w:t xml:space="preserve"> </w:t>
      </w:r>
      <w:r>
        <w:t xml:space="preserve">Domain experts dictate or write instructions for the AI agent. Brittle. Requires engineering literacy the domain expert may lack. Captures only what the expert thinks to articulate.</w:t>
      </w:r>
    </w:p>
    <w:p>
      <w:pPr>
        <w:numPr>
          <w:ilvl w:val="0"/>
          <w:numId w:val="1011"/>
        </w:numPr>
      </w:pPr>
      <w:r>
        <w:rPr>
          <w:b/>
          <w:bCs/>
        </w:rPr>
        <w:t xml:space="preserve">Fine-tuning on documents.</w:t>
      </w:r>
      <w:r>
        <w:t xml:space="preserve"> </w:t>
      </w:r>
      <w:r>
        <w:t xml:space="preserve">Training the underlying model on regulatory documents, SOPs, and case studies. Expensive. Slow. Hard to update. Difficult to verify what was learned. Cannot be selectively applied per-tenant or per-jurisdiction.</w:t>
      </w:r>
    </w:p>
    <w:p>
      <w:pPr>
        <w:numPr>
          <w:ilvl w:val="0"/>
          <w:numId w:val="1011"/>
        </w:numPr>
      </w:pPr>
      <w:r>
        <w:rPr>
          <w:b/>
          <w:bCs/>
        </w:rPr>
        <w:t xml:space="preserve">Retrieval-augmented generation (RAG).</w:t>
      </w:r>
      <w:r>
        <w:t xml:space="preserve"> </w:t>
      </w:r>
      <w:r>
        <w:t xml:space="preserve">Indexing documents and retrieving them at inference time. Effective for factual recall but does not capture procedural expertise, decision heuristics, or the implicit rules an expert applies. Does not produce reusable worker capabilities.</w:t>
      </w:r>
    </w:p>
    <w:p>
      <w:pPr>
        <w:numPr>
          <w:ilvl w:val="0"/>
          <w:numId w:val="1011"/>
        </w:numPr>
      </w:pPr>
      <w:r>
        <w:rPr>
          <w:b/>
          <w:bCs/>
        </w:rPr>
        <w:t xml:space="preserve">Direct rule authoring.</w:t>
      </w:r>
      <w:r>
        <w:t xml:space="preserve"> </w:t>
      </w:r>
      <w:r>
        <w:t xml:space="preserve">A compliance officer or domain expert writes explicit rules in a domain-specific language. Effective for structured rules but does not capture the conversational, exception-handling, judgment-driven part of expert practice.</w:t>
      </w:r>
    </w:p>
    <w:p>
      <w:pPr>
        <w:numPr>
          <w:ilvl w:val="0"/>
          <w:numId w:val="1011"/>
        </w:numPr>
      </w:pPr>
      <w:r>
        <w:rPr>
          <w:b/>
          <w:bCs/>
        </w:rPr>
        <w:t xml:space="preserve">Observational learning from logs.</w:t>
      </w:r>
      <w:r>
        <w:t xml:space="preserve"> </w:t>
      </w:r>
      <w:r>
        <w:t xml:space="preserve">Training systems on logs of expert decisions. Privacy-sensitive. Data-hungry. Hard to attribute. Cannot easily distinguish good decisions from bad.</w:t>
      </w:r>
    </w:p>
    <w:p>
      <w:pPr>
        <w:pStyle w:val="FirstParagraph"/>
      </w:pPr>
      <w:r>
        <w:t xml:space="preserve">None of these methods capture the most valuable form of expert knowledge: the</w:t>
      </w:r>
      <w:r>
        <w:t xml:space="preserve"> </w:t>
      </w:r>
      <w:r>
        <w:rPr>
          <w:b/>
          <w:bCs/>
        </w:rPr>
        <w:t xml:space="preserve">conversational explanation an expert gives when an AI assistant asks a clarifying question.</w:t>
      </w:r>
      <w:r>
        <w:t xml:space="preserve"> </w:t>
      </w:r>
      <w:r>
        <w:t xml:space="preserve">That conversation is where the expert articulates the heuristics, the edge cases, the why-this-not-that reasoning. Those explanations are the highest-density form of expert knowledge available.</w:t>
      </w:r>
    </w:p>
    <w:bookmarkEnd w:id="36"/>
    <w:bookmarkStart w:id="37" w:name="Xe7c45f809b605dfedd941e3fdda863e70a43db0"/>
    <w:p>
      <w:pPr>
        <w:pStyle w:val="Heading3"/>
      </w:pPr>
      <w:r>
        <w:t xml:space="preserve">Background — The Worker Authoring Safety Problem</w:t>
      </w:r>
    </w:p>
    <w:p>
      <w:pPr>
        <w:pStyle w:val="FirstParagraph"/>
      </w:pPr>
      <w:r>
        <w:t xml:space="preserve">A related problem is that the people with the deepest domain expertise — practicing nurses, working pilots, experienced brokers, senior compliance officers — are typically NOT software engineers. Allowing them to author new AI workers by writing code is impractical. Allowing them to author through natural conversation requires that the conversation cannot harm the platform or other tenants (no infrastructure access, no data exfiltration, no policy bypass).</w:t>
      </w:r>
    </w:p>
    <w:p>
      <w:pPr>
        <w:pStyle w:val="BodyText"/>
      </w:pPr>
      <w:r>
        <w:t xml:space="preserve">Existing AI-agent authoring platforms (e.g., GPT Builder, Claude Projects, autoGPT-style frameworks) provide limited safety guarantees during authoring: an authoring conversation may attempt to inject instructions that would modify the platform’s behavior in undesired ways, exfiltrate data, or grant the new agent permissions beyond what is appropriate.</w:t>
      </w:r>
    </w:p>
    <w:bookmarkEnd w:id="37"/>
    <w:bookmarkStart w:id="38" w:name="prior-art-limitations-1"/>
    <w:p>
      <w:pPr>
        <w:pStyle w:val="Heading3"/>
      </w:pPr>
      <w:r>
        <w:t xml:space="preserve">Prior Art Limitations</w:t>
      </w:r>
    </w:p>
    <w:p>
      <w:pPr>
        <w:pStyle w:val="FirstParagraph"/>
      </w:pPr>
      <w:r>
        <w:t xml:space="preserve">While the cited prior art (18/398,973 and the December 2024 logbook filing) establishes foundational architecture for blockchain-anchored governance, those disclosures do not enable:</w:t>
      </w:r>
    </w:p>
    <w:p>
      <w:pPr>
        <w:pStyle w:val="Compact"/>
        <w:numPr>
          <w:ilvl w:val="0"/>
          <w:numId w:val="1012"/>
        </w:numPr>
      </w:pPr>
      <w:r>
        <w:rPr>
          <w:b/>
          <w:bCs/>
        </w:rPr>
        <w:t xml:space="preserve">Automated ingestion</w:t>
      </w:r>
      <w:r>
        <w:t xml:space="preserve"> </w:t>
      </w:r>
      <w:r>
        <w:t xml:space="preserve">of conversational exchanges between domain experts and AI assistants into a structured pipeline</w:t>
      </w:r>
    </w:p>
    <w:p>
      <w:pPr>
        <w:pStyle w:val="Compact"/>
        <w:numPr>
          <w:ilvl w:val="0"/>
          <w:numId w:val="1012"/>
        </w:numPr>
      </w:pPr>
      <w:r>
        <w:rPr>
          <w:b/>
          <w:bCs/>
        </w:rPr>
        <w:t xml:space="preserve">Rule extraction</w:t>
      </w:r>
      <w:r>
        <w:t xml:space="preserve"> </w:t>
      </w:r>
      <w:r>
        <w:t xml:space="preserve">from natural-language expert explanations into versioned, content-hashed structured rules</w:t>
      </w:r>
    </w:p>
    <w:p>
      <w:pPr>
        <w:pStyle w:val="Compact"/>
        <w:numPr>
          <w:ilvl w:val="0"/>
          <w:numId w:val="1012"/>
        </w:numPr>
      </w:pPr>
      <w:r>
        <w:rPr>
          <w:b/>
          <w:bCs/>
        </w:rPr>
        <w:t xml:space="preserve">Worker fixture generation</w:t>
      </w:r>
      <w:r>
        <w:t xml:space="preserve"> </w:t>
      </w:r>
      <w:r>
        <w:t xml:space="preserve">wherein representative inputs, outputs, and rule evaluations become reusable test cases and golden-path examples for subsequent workers</w:t>
      </w:r>
    </w:p>
    <w:p>
      <w:pPr>
        <w:pStyle w:val="Compact"/>
        <w:numPr>
          <w:ilvl w:val="0"/>
          <w:numId w:val="1012"/>
        </w:numPr>
      </w:pPr>
      <w:r>
        <w:rPr>
          <w:b/>
          <w:bCs/>
        </w:rPr>
        <w:t xml:space="preserve">Terminal Worker safety architecture</w:t>
      </w:r>
      <w:r>
        <w:t xml:space="preserve"> </w:t>
      </w:r>
      <w:r>
        <w:t xml:space="preserve">for allowing non-engineers to author new workers through conversation without code-level access</w:t>
      </w:r>
    </w:p>
    <w:p>
      <w:pPr>
        <w:pStyle w:val="Compact"/>
        <w:numPr>
          <w:ilvl w:val="0"/>
          <w:numId w:val="1012"/>
        </w:numPr>
      </w:pPr>
      <w:r>
        <w:rPr>
          <w:b/>
          <w:bCs/>
        </w:rPr>
        <w:t xml:space="preserve">Compounding effects</w:t>
      </w:r>
      <w:r>
        <w:t xml:space="preserve"> </w:t>
      </w:r>
      <w:r>
        <w:t xml:space="preserve">wherein every expert conversation enriches the rule registry and worker fixture library</w:t>
      </w:r>
    </w:p>
    <w:p>
      <w:pPr>
        <w:pStyle w:val="FirstParagraph"/>
      </w:pPr>
      <w:r>
        <w:t xml:space="preserve">The present invention provides these capabilities through novel pipeline architecture.</w:t>
      </w:r>
    </w:p>
    <w:p>
      <w:r>
        <w:pict>
          <v:rect style="width:0;height:1.5pt" o:hralign="center" o:hrstd="t" o:hr="t"/>
        </w:pict>
      </w:r>
    </w:p>
    <w:bookmarkEnd w:id="38"/>
    <w:bookmarkEnd w:id="39"/>
    <w:bookmarkStart w:id="43" w:name="summary-of-the-invention-1"/>
    <w:p>
      <w:pPr>
        <w:pStyle w:val="Heading2"/>
      </w:pPr>
      <w:r>
        <w:t xml:space="preserve">SUMMARY OF THE INVENTION</w:t>
      </w:r>
    </w:p>
    <w:p>
      <w:pPr>
        <w:pStyle w:val="FirstParagraph"/>
      </w:pPr>
      <w:r>
        <w:t xml:space="preserve">The present invention provides a Knowledge Capture Pipeline System (the</w:t>
      </w:r>
      <w:r>
        <w:t xml:space="preserve"> </w:t>
      </w:r>
      <w:r>
        <w:t xml:space="preserve">“System”</w:t>
      </w:r>
      <w:r>
        <w:t xml:space="preserve">) comprising three principal ingestion jobs and one safety-architectural pattern:</w:t>
      </w:r>
    </w:p>
    <w:bookmarkStart w:id="40" w:name="three-ingestion-jobs"/>
    <w:p>
      <w:pPr>
        <w:pStyle w:val="Heading3"/>
      </w:pPr>
      <w:r>
        <w:t xml:space="preserve">Three Ingestion Jobs</w:t>
      </w:r>
    </w:p>
    <w:p>
      <w:pPr>
        <w:numPr>
          <w:ilvl w:val="0"/>
          <w:numId w:val="1013"/>
        </w:numPr>
      </w:pPr>
      <w:r>
        <w:rPr>
          <w:b/>
          <w:bCs/>
        </w:rPr>
        <w:t xml:space="preserve">Codex Ingestion.</w:t>
      </w:r>
      <w:r>
        <w:t xml:space="preserve"> </w:t>
      </w:r>
      <w:r>
        <w:t xml:space="preserve">A scheduled or event-triggered job that ingests structured documentation files (referred to as</w:t>
      </w:r>
      <w:r>
        <w:t xml:space="preserve"> </w:t>
      </w:r>
      <w:r>
        <w:t xml:space="preserve">“codex documents”</w:t>
      </w:r>
      <w:r>
        <w:t xml:space="preserve">) produced as a byproduct of system operation. Codex documents include shipped-record specifications, design memos, architecture decision records, post-incident reports, and any other structured artifacts of expert decision-making. The job parses these documents, identifies the embedded rules, decision heuristics, and architectural patterns, and outputs candidate rule definitions for incorporation into the platform’s rule registry.</w:t>
      </w:r>
    </w:p>
    <w:p>
      <w:pPr>
        <w:numPr>
          <w:ilvl w:val="0"/>
          <w:numId w:val="1013"/>
        </w:numPr>
      </w:pPr>
      <w:r>
        <w:rPr>
          <w:b/>
          <w:bCs/>
        </w:rPr>
        <w:t xml:space="preserve">Rule Extraction.</w:t>
      </w:r>
      <w:r>
        <w:t xml:space="preserve"> </w:t>
      </w:r>
      <w:r>
        <w:t xml:space="preserve">A scheduled or event-triggered job that ingests captured conversations (between users and AI assistants on the platform, with user consent) and applies an AI-powered analysis to identify portions of the conversation that express decision rules, heuristics, or domain-specific knowledge. Extracted rules are versioned, content-hashed, and tagged with provenance (which conversation, which user, which AI worker) before being surfaced to a human review queue. Approved rules are written to the rule registry.</w:t>
      </w:r>
    </w:p>
    <w:p>
      <w:pPr>
        <w:numPr>
          <w:ilvl w:val="0"/>
          <w:numId w:val="1013"/>
        </w:numPr>
      </w:pPr>
      <w:r>
        <w:rPr>
          <w:b/>
          <w:bCs/>
        </w:rPr>
        <w:t xml:space="preserve">Worker Fixture Capture.</w:t>
      </w:r>
      <w:r>
        <w:t xml:space="preserve"> </w:t>
      </w:r>
      <w:r>
        <w:t xml:space="preserve">A scheduled or event-triggered job that ingests representative input-output pairs from worker executions, captures the rule-set state at the time, and stores the trio (input, output, rule-set hash) as a worker fixture. Fixtures serve as: (a) golden-path test cases for verifying that subsequent worker changes preserve expected behavior; (b) demonstration examples shown to new users; (c) training examples for fine-tuning or RAG augmentation of future model variants.</w:t>
      </w:r>
    </w:p>
    <w:bookmarkEnd w:id="40"/>
    <w:bookmarkStart w:id="41" w:name="terminal-worker-safety-architecture"/>
    <w:p>
      <w:pPr>
        <w:pStyle w:val="Heading3"/>
      </w:pPr>
      <w:r>
        <w:t xml:space="preserve">Terminal Worker Safety Architecture</w:t>
      </w:r>
    </w:p>
    <w:p>
      <w:pPr>
        <w:pStyle w:val="FirstParagraph"/>
      </w:pPr>
      <w:r>
        <w:t xml:space="preserve">The fourth component is the</w:t>
      </w:r>
      <w:r>
        <w:t xml:space="preserve"> </w:t>
      </w:r>
      <w:r>
        <w:rPr>
          <w:b/>
          <w:bCs/>
        </w:rPr>
        <w:t xml:space="preserve">Terminal Worker pattern</w:t>
      </w:r>
      <w:r>
        <w:t xml:space="preserve"> </w:t>
      </w:r>
      <w:r>
        <w:t xml:space="preserve">— a worker authoring surface with three structural safety properties:</w:t>
      </w:r>
    </w:p>
    <w:p>
      <w:pPr>
        <w:numPr>
          <w:ilvl w:val="0"/>
          <w:numId w:val="1014"/>
        </w:numPr>
      </w:pPr>
      <w:r>
        <w:rPr>
          <w:b/>
          <w:bCs/>
        </w:rPr>
        <w:t xml:space="preserve">Talk-to-AI surface.</w:t>
      </w:r>
      <w:r>
        <w:t xml:space="preserve"> </w:t>
      </w:r>
      <w:r>
        <w:t xml:space="preserve">The author interacts with an AI assistant through natural conversation. The AI assistant guides the author through worker specification: what the worker does, what rules govern it, what inputs it takes, what outputs it produces, what compliance requirements apply.</w:t>
      </w:r>
    </w:p>
    <w:p>
      <w:pPr>
        <w:numPr>
          <w:ilvl w:val="0"/>
          <w:numId w:val="1014"/>
        </w:numPr>
      </w:pPr>
      <w:r>
        <w:rPr>
          <w:b/>
          <w:bCs/>
        </w:rPr>
        <w:t xml:space="preserve">Cannot-harm-code property.</w:t>
      </w:r>
      <w:r>
        <w:t xml:space="preserve"> </w:t>
      </w:r>
      <w:r>
        <w:t xml:space="preserve">The Terminal Worker conversation has no path to modify platform code, platform configuration, other tenants’ data, or platform safety rules. The conversation produces only structured worker specifications which are themselves data, not code. The specifications are evaluated by the platform’s rule composition engine and pre-publish constraint check before any worker is provisioned.</w:t>
      </w:r>
    </w:p>
    <w:p>
      <w:pPr>
        <w:numPr>
          <w:ilvl w:val="0"/>
          <w:numId w:val="1014"/>
        </w:numPr>
      </w:pPr>
      <w:r>
        <w:rPr>
          <w:b/>
          <w:bCs/>
        </w:rPr>
        <w:t xml:space="preserve">Policy-gated approval.</w:t>
      </w:r>
      <w:r>
        <w:t xml:space="preserve"> </w:t>
      </w:r>
      <w:r>
        <w:t xml:space="preserve">Worker specifications produced through the Terminal Worker must pass a platform governance pipeline (intake → research → rules:save → prePublish → submit → admin review → APPROVED) before the worker becomes invocable by other users. The author cannot self-approve. This gates the safety of every new worker behind platform-controlled review.</w:t>
      </w:r>
    </w:p>
    <w:p>
      <w:pPr>
        <w:pStyle w:val="FirstParagraph"/>
      </w:pPr>
      <w:r>
        <w:t xml:space="preserve">The combination provides:</w:t>
      </w:r>
    </w:p>
    <w:p>
      <w:pPr>
        <w:pStyle w:val="Compact"/>
        <w:numPr>
          <w:ilvl w:val="0"/>
          <w:numId w:val="1015"/>
        </w:numPr>
      </w:pPr>
      <w:r>
        <w:rPr>
          <w:b/>
          <w:bCs/>
        </w:rPr>
        <w:t xml:space="preserve">Accessibility:</w:t>
      </w:r>
      <w:r>
        <w:t xml:space="preserve"> </w:t>
      </w:r>
      <w:r>
        <w:t xml:space="preserve">Domain experts without engineering literacy can author workers through natural conversation</w:t>
      </w:r>
    </w:p>
    <w:p>
      <w:pPr>
        <w:pStyle w:val="Compact"/>
        <w:numPr>
          <w:ilvl w:val="0"/>
          <w:numId w:val="1015"/>
        </w:numPr>
      </w:pPr>
      <w:r>
        <w:rPr>
          <w:b/>
          <w:bCs/>
        </w:rPr>
        <w:t xml:space="preserve">Safety:</w:t>
      </w:r>
      <w:r>
        <w:t xml:space="preserve"> </w:t>
      </w:r>
      <w:r>
        <w:t xml:space="preserve">The authoring conversation cannot itself harm the platform regardless of adversarial inputs</w:t>
      </w:r>
    </w:p>
    <w:p>
      <w:pPr>
        <w:pStyle w:val="Compact"/>
        <w:numPr>
          <w:ilvl w:val="0"/>
          <w:numId w:val="1015"/>
        </w:numPr>
      </w:pPr>
      <w:r>
        <w:rPr>
          <w:b/>
          <w:bCs/>
        </w:rPr>
        <w:t xml:space="preserve">Governance:</w:t>
      </w:r>
      <w:r>
        <w:t xml:space="preserve"> </w:t>
      </w:r>
      <w:r>
        <w:t xml:space="preserve">Every authored worker passes through a uniform approval pipeline before deployment</w:t>
      </w:r>
    </w:p>
    <w:bookmarkEnd w:id="41"/>
    <w:bookmarkStart w:id="42" w:name="compounding-effects"/>
    <w:p>
      <w:pPr>
        <w:pStyle w:val="Heading3"/>
      </w:pPr>
      <w:r>
        <w:t xml:space="preserve">Compounding Effects</w:t>
      </w:r>
    </w:p>
    <w:p>
      <w:pPr>
        <w:pStyle w:val="FirstParagraph"/>
      </w:pPr>
      <w:r>
        <w:t xml:space="preserve">The Knowledge Capture Pipeline produces compounding value:</w:t>
      </w:r>
    </w:p>
    <w:p>
      <w:pPr>
        <w:pStyle w:val="Compact"/>
        <w:numPr>
          <w:ilvl w:val="0"/>
          <w:numId w:val="1016"/>
        </w:numPr>
      </w:pPr>
      <w:r>
        <w:t xml:space="preserve">Every conversation an expert has with the platform’s AI assistant enriches the rule extraction candidate pool</w:t>
      </w:r>
    </w:p>
    <w:p>
      <w:pPr>
        <w:pStyle w:val="Compact"/>
        <w:numPr>
          <w:ilvl w:val="0"/>
          <w:numId w:val="1016"/>
        </w:numPr>
      </w:pPr>
      <w:r>
        <w:t xml:space="preserve">Every approved rule strengthens the platform’s vertical baselines</w:t>
      </w:r>
    </w:p>
    <w:p>
      <w:pPr>
        <w:pStyle w:val="Compact"/>
        <w:numPr>
          <w:ilvl w:val="0"/>
          <w:numId w:val="1016"/>
        </w:numPr>
      </w:pPr>
      <w:r>
        <w:t xml:space="preserve">Every worker fixture captured improves the platform’s demo data, test coverage, and future fine-tuning material</w:t>
      </w:r>
    </w:p>
    <w:p>
      <w:pPr>
        <w:pStyle w:val="Compact"/>
        <w:numPr>
          <w:ilvl w:val="0"/>
          <w:numId w:val="1016"/>
        </w:numPr>
      </w:pPr>
      <w:r>
        <w:t xml:space="preserve">The system gets stronger every quarter from accumulated use, in contrast to platforms whose expertise is set at deployment</w:t>
      </w:r>
    </w:p>
    <w:p>
      <w:pPr>
        <w:pStyle w:val="FirstParagraph"/>
      </w:pPr>
      <w:r>
        <w:t xml:space="preserve">This compounding property is the platform’s data moat: a forker who copies the worker runtime cannot copy the accumulated rule registry, fixture library, and codex archive.</w:t>
      </w:r>
    </w:p>
    <w:p>
      <w:r>
        <w:pict>
          <v:rect style="width:0;height:1.5pt" o:hralign="center" o:hrstd="t" o:hr="t"/>
        </w:pict>
      </w:r>
    </w:p>
    <w:bookmarkEnd w:id="42"/>
    <w:bookmarkEnd w:id="43"/>
    <w:bookmarkStart w:id="50" w:name="detailed-description-of-embodiments-1"/>
    <w:p>
      <w:pPr>
        <w:pStyle w:val="Heading2"/>
      </w:pPr>
      <w:r>
        <w:t xml:space="preserve">DETAILED DESCRIPTION OF EMBODIMENTS</w:t>
      </w:r>
    </w:p>
    <w:bookmarkStart w:id="44" w:name="codex-ingestion-job"/>
    <w:p>
      <w:pPr>
        <w:pStyle w:val="Heading3"/>
      </w:pPr>
      <w:r>
        <w:t xml:space="preserve">Codex Ingestion Job</w:t>
      </w:r>
    </w:p>
    <w:p>
      <w:pPr>
        <w:pStyle w:val="FirstParagraph"/>
      </w:pPr>
      <w:r>
        <w:rPr>
          <w:b/>
          <w:bCs/>
        </w:rPr>
        <w:t xml:space="preserve">Inputs:</w:t>
      </w:r>
      <w:r>
        <w:t xml:space="preserve"> </w:t>
      </w:r>
      <w:r>
        <w:t xml:space="preserve">Markdown, plain-text, or structured documentation files in a designated input directory or repository. In the preferred embodiment, the input source is</w:t>
      </w:r>
      <w:r>
        <w:t xml:space="preserve"> </w:t>
      </w:r>
      <w:r>
        <w:rPr>
          <w:rStyle w:val="VerbatimChar"/>
        </w:rPr>
        <w:t xml:space="preserve">docs/specs/</w:t>
      </w:r>
      <w:r>
        <w:t xml:space="preserve"> </w:t>
      </w:r>
      <w:r>
        <w:t xml:space="preserve">in the platform’s source repository plus any additional input directories the operator configures.</w:t>
      </w:r>
    </w:p>
    <w:p>
      <w:pPr>
        <w:pStyle w:val="BodyText"/>
      </w:pPr>
      <w:r>
        <w:rPr>
          <w:b/>
          <w:bCs/>
        </w:rPr>
        <w:t xml:space="preserve">Processing:</w:t>
      </w:r>
      <w:r>
        <w:t xml:space="preserve"> </w:t>
      </w:r>
      <w:r>
        <w:t xml:space="preserve">1. The job polls the input source on a schedule (e.g., daily) or responds to events (e.g., git commit hooks that flag new files).</w:t>
      </w:r>
      <w:r>
        <w:t xml:space="preserve"> </w:t>
      </w:r>
      <w:r>
        <w:t xml:space="preserve">2. For each new or changed file, the job extracts structured content using a combination of regex-based parsers (for codex headers, decision markers, rule call-outs) and AI-mediated analysis (for less-structured prose).</w:t>
      </w:r>
      <w:r>
        <w:t xml:space="preserve"> </w:t>
      </w:r>
      <w:r>
        <w:t xml:space="preserve">3. Identified rule candidates are extracted with surrounding context (the sentences and paragraphs that establish the rule’s purpose and scope).</w:t>
      </w:r>
      <w:r>
        <w:t xml:space="preserve"> </w:t>
      </w:r>
      <w:r>
        <w:t xml:space="preserve">4. Each candidate is content-hashed and stored in the candidate rule queue with provenance metadata (source file, line number, commit hash).</w:t>
      </w:r>
    </w:p>
    <w:p>
      <w:pPr>
        <w:pStyle w:val="BodyText"/>
      </w:pPr>
      <w:r>
        <w:rPr>
          <w:b/>
          <w:bCs/>
        </w:rPr>
        <w:t xml:space="preserve">Outputs:</w:t>
      </w:r>
      <w:r>
        <w:t xml:space="preserve"> </w:t>
      </w:r>
      <w:r>
        <w:t xml:space="preserve">Candidate rule entries written to a</w:t>
      </w:r>
      <w:r>
        <w:t xml:space="preserve"> </w:t>
      </w:r>
      <w:r>
        <w:rPr>
          <w:rStyle w:val="VerbatimChar"/>
        </w:rPr>
        <w:t xml:space="preserve">ruleCandidates</w:t>
      </w:r>
      <w:r>
        <w:t xml:space="preserve"> </w:t>
      </w:r>
      <w:r>
        <w:t xml:space="preserve">Firestore collection (or equivalent), tagged for human review. Each candidate includes the extracted rule, its surrounding context, its provenance, and a suggested tier (Tier 0 / 1 / 2 / 3 / 4 from the multi-tier rule architecture).</w:t>
      </w:r>
    </w:p>
    <w:p>
      <w:pPr>
        <w:pStyle w:val="BodyText"/>
      </w:pPr>
      <w:r>
        <w:rPr>
          <w:b/>
          <w:bCs/>
        </w:rPr>
        <w:t xml:space="preserve">Reviewer interface:</w:t>
      </w:r>
      <w:r>
        <w:t xml:space="preserve"> </w:t>
      </w:r>
      <w:r>
        <w:t xml:space="preserve">A simple admin queue where a human (initially the platform operator; later subject-matter experts) reviews candidates. Each candidate can be (a) approved with edits, written to the rule registry; (b) rejected with a reason; (c) deferred for more context. Approved rules flow into the rule registry with semantic versioning and become available for inclusion in future rule-set compositions.</w:t>
      </w:r>
    </w:p>
    <w:bookmarkEnd w:id="44"/>
    <w:bookmarkStart w:id="45" w:name="rule-extraction-job"/>
    <w:p>
      <w:pPr>
        <w:pStyle w:val="Heading3"/>
      </w:pPr>
      <w:r>
        <w:t xml:space="preserve">Rule Extraction Job</w:t>
      </w:r>
    </w:p>
    <w:p>
      <w:pPr>
        <w:pStyle w:val="FirstParagraph"/>
      </w:pPr>
      <w:r>
        <w:rPr>
          <w:b/>
          <w:bCs/>
        </w:rPr>
        <w:t xml:space="preserve">Inputs:</w:t>
      </w:r>
      <w:r>
        <w:t xml:space="preserve"> </w:t>
      </w:r>
      <w:r>
        <w:t xml:space="preserve">Conversation transcripts between users and AI workers on the platform, with explicit user consent (default opt-in for platform-operator and creator accounts; explicit opt-in for subscriber accounts).</w:t>
      </w:r>
    </w:p>
    <w:p>
      <w:pPr>
        <w:pStyle w:val="BodyText"/>
      </w:pPr>
      <w:r>
        <w:rPr>
          <w:b/>
          <w:bCs/>
        </w:rPr>
        <w:t xml:space="preserve">Processing:</w:t>
      </w:r>
      <w:r>
        <w:t xml:space="preserve"> </w:t>
      </w:r>
      <w:r>
        <w:t xml:space="preserve">1. The job processes consented conversations on a schedule.</w:t>
      </w:r>
      <w:r>
        <w:t xml:space="preserve"> </w:t>
      </w:r>
      <w:r>
        <w:t xml:space="preserve">2. For each conversation, an AI-powered analysis prompt identifies turns where the user (presumed expert) provides instructional or rule-like content to the AI assistant. Patterns include:</w:t>
      </w:r>
      <w:r>
        <w:t xml:space="preserve"> </w:t>
      </w:r>
      <w:r>
        <w:t xml:space="preserve">“always do X when…”</w:t>
      </w:r>
      <w:r>
        <w:t xml:space="preserve">,</w:t>
      </w:r>
      <w:r>
        <w:t xml:space="preserve"> </w:t>
      </w:r>
      <w:r>
        <w:t xml:space="preserve">“never X if…”</w:t>
      </w:r>
      <w:r>
        <w:t xml:space="preserve">,</w:t>
      </w:r>
      <w:r>
        <w:t xml:space="preserve"> </w:t>
      </w:r>
      <w:r>
        <w:t xml:space="preserve">“the rule is…”</w:t>
      </w:r>
      <w:r>
        <w:t xml:space="preserve">,</w:t>
      </w:r>
      <w:r>
        <w:t xml:space="preserve"> </w:t>
      </w:r>
      <w:r>
        <w:t xml:space="preserve">“for [jurisdiction], we have to…”</w:t>
      </w:r>
      <w:r>
        <w:t xml:space="preserve">,</w:t>
      </w:r>
      <w:r>
        <w:t xml:space="preserve"> </w:t>
      </w:r>
      <w:r>
        <w:t xml:space="preserve">“the way I handle [edge case] is…”</w:t>
      </w:r>
      <w:r>
        <w:t xml:space="preserve">.</w:t>
      </w:r>
      <w:r>
        <w:t xml:space="preserve"> </w:t>
      </w:r>
      <w:r>
        <w:t xml:space="preserve">3. Identified instructional turns are extracted with surrounding context and the AI assistant’s subsequent response (to verify that the extracted rule was understood and applied).</w:t>
      </w:r>
      <w:r>
        <w:t xml:space="preserve"> </w:t>
      </w:r>
      <w:r>
        <w:t xml:space="preserve">4. Extracted rules are content-hashed, deduplicated against the existing rule registry, and surfaced to the candidate rule queue.</w:t>
      </w:r>
    </w:p>
    <w:p>
      <w:pPr>
        <w:pStyle w:val="BodyText"/>
      </w:pPr>
      <w:r>
        <w:rPr>
          <w:b/>
          <w:bCs/>
        </w:rPr>
        <w:t xml:space="preserve">Outputs:</w:t>
      </w:r>
      <w:r>
        <w:t xml:space="preserve"> </w:t>
      </w:r>
      <w:r>
        <w:t xml:space="preserve">Same</w:t>
      </w:r>
      <w:r>
        <w:t xml:space="preserve"> </w:t>
      </w:r>
      <w:r>
        <w:rPr>
          <w:rStyle w:val="VerbatimChar"/>
        </w:rPr>
        <w:t xml:space="preserve">ruleCandidates</w:t>
      </w:r>
      <w:r>
        <w:t xml:space="preserve"> </w:t>
      </w:r>
      <w:r>
        <w:t xml:space="preserve">queue as the Codex Ingestion Job. The two jobs feed the same downstream review.</w:t>
      </w:r>
    </w:p>
    <w:p>
      <w:pPr>
        <w:pStyle w:val="BodyText"/>
      </w:pPr>
      <w:r>
        <w:rPr>
          <w:b/>
          <w:bCs/>
        </w:rPr>
        <w:t xml:space="preserve">Provenance preservation:</w:t>
      </w:r>
      <w:r>
        <w:t xml:space="preserve"> </w:t>
      </w:r>
      <w:r>
        <w:t xml:space="preserve">Each extracted rule retains a reference to the originating conversation (by audit chain hash, ensuring the conversation is itself tamper-evident) and the user identity attestation of the contributing expert. This provides traceability from rule → expert → audit chain.</w:t>
      </w:r>
    </w:p>
    <w:p>
      <w:pPr>
        <w:pStyle w:val="BodyText"/>
      </w:pPr>
      <w:r>
        <w:rPr>
          <w:b/>
          <w:bCs/>
        </w:rPr>
        <w:t xml:space="preserve">Consent enforcement:</w:t>
      </w:r>
      <w:r>
        <w:t xml:space="preserve"> </w:t>
      </w:r>
      <w:r>
        <w:t xml:space="preserve">Conversations are only processed if the user has opted in. The opt-in is itself recorded as a child audit event on the user’s parent DTC.</w:t>
      </w:r>
    </w:p>
    <w:p>
      <w:pPr>
        <w:pStyle w:val="BodyText"/>
      </w:pPr>
      <w:r>
        <w:rPr>
          <w:b/>
          <w:bCs/>
        </w:rPr>
        <w:t xml:space="preserve">Privacy considerations:</w:t>
      </w:r>
      <w:r>
        <w:t xml:space="preserve"> </w:t>
      </w:r>
      <w:r>
        <w:t xml:space="preserve">Before AI-mediated analysis, conversations are passed through a PII scrubbing layer that masks names, addresses, account numbers, and other identifying details. Extracted rules retain only the substantive rule content, not the PII context.</w:t>
      </w:r>
    </w:p>
    <w:bookmarkEnd w:id="45"/>
    <w:bookmarkStart w:id="46" w:name="worker-fixture-capture-job"/>
    <w:p>
      <w:pPr>
        <w:pStyle w:val="Heading3"/>
      </w:pPr>
      <w:r>
        <w:t xml:space="preserve">Worker Fixture Capture Job</w:t>
      </w:r>
    </w:p>
    <w:p>
      <w:pPr>
        <w:pStyle w:val="FirstParagraph"/>
      </w:pPr>
      <w:r>
        <w:rPr>
          <w:b/>
          <w:bCs/>
        </w:rPr>
        <w:t xml:space="preserve">Inputs:</w:t>
      </w:r>
      <w:r>
        <w:t xml:space="preserve"> </w:t>
      </w:r>
      <w:r>
        <w:t xml:space="preserve">Worker execution events from the platform’s audit chain (every worker invocation is already audit-anchored per the co-pending Audit Trail filing).</w:t>
      </w:r>
    </w:p>
    <w:p>
      <w:pPr>
        <w:pStyle w:val="BodyText"/>
      </w:pPr>
      <w:r>
        <w:rPr>
          <w:b/>
          <w:bCs/>
        </w:rPr>
        <w:t xml:space="preserve">Processing:</w:t>
      </w:r>
      <w:r>
        <w:t xml:space="preserve"> </w:t>
      </w:r>
      <w:r>
        <w:t xml:space="preserve">1. The job processes worker executions tagged as</w:t>
      </w:r>
      <w:r>
        <w:t xml:space="preserve"> </w:t>
      </w:r>
      <w:r>
        <w:t xml:space="preserve">“fixture candidates.”</w:t>
      </w:r>
      <w:r>
        <w:t xml:space="preserve"> </w:t>
      </w:r>
      <w:r>
        <w:t xml:space="preserve">Candidates are selected through one or more strategies:</w:t>
      </w:r>
      <w:r>
        <w:t xml:space="preserve"> </w:t>
      </w:r>
      <w:r>
        <w:t xml:space="preserve">- Random sampling at a configurable rate (e.g., 1 in 1000 executions)</w:t>
      </w:r>
      <w:r>
        <w:t xml:space="preserve"> </w:t>
      </w:r>
      <w:r>
        <w:t xml:space="preserve">- All executions matching specific patterns (e.g., the first 10 executions of any newly-published worker)</w:t>
      </w:r>
      <w:r>
        <w:t xml:space="preserve"> </w:t>
      </w:r>
      <w:r>
        <w:t xml:space="preserve">- Executions explicitly marked by users as</w:t>
      </w:r>
      <w:r>
        <w:t xml:space="preserve"> </w:t>
      </w:r>
      <w:r>
        <w:t xml:space="preserve">“good example”</w:t>
      </w:r>
      <w:r>
        <w:t xml:space="preserve"> </w:t>
      </w:r>
      <w:r>
        <w:t xml:space="preserve">via a thumbs-up or</w:t>
      </w:r>
      <w:r>
        <w:t xml:space="preserve"> </w:t>
      </w:r>
      <w:r>
        <w:t xml:space="preserve">“save as example”</w:t>
      </w:r>
      <w:r>
        <w:t xml:space="preserve"> </w:t>
      </w:r>
      <w:r>
        <w:t xml:space="preserve">action</w:t>
      </w:r>
      <w:r>
        <w:t xml:space="preserve"> </w:t>
      </w:r>
      <w:r>
        <w:t xml:space="preserve">2. For each candidate, the job extracts the trio (input, output, rule-set hash) and stores it in the</w:t>
      </w:r>
      <w:r>
        <w:t xml:space="preserve"> </w:t>
      </w:r>
      <w:r>
        <w:rPr>
          <w:rStyle w:val="VerbatimChar"/>
        </w:rPr>
        <w:t xml:space="preserve">workerFixtures</w:t>
      </w:r>
      <w:r>
        <w:t xml:space="preserve"> </w:t>
      </w:r>
      <w:r>
        <w:t xml:space="preserve">collection keyed by worker slug + fixture ID.</w:t>
      </w:r>
      <w:r>
        <w:t xml:space="preserve"> </w:t>
      </w:r>
      <w:r>
        <w:t xml:space="preserve">3. Fixtures are tagged with metadata: was the output rated useful, was the output blocked, was human review invoked.</w:t>
      </w:r>
    </w:p>
    <w:p>
      <w:pPr>
        <w:pStyle w:val="BodyText"/>
      </w:pPr>
      <w:r>
        <w:rPr>
          <w:b/>
          <w:bCs/>
        </w:rPr>
        <w:t xml:space="preserve">Outputs:</w:t>
      </w:r>
      <w:r>
        <w:t xml:space="preserve"> </w:t>
      </w:r>
      <w:r>
        <w:t xml:space="preserve">Worker fixture library accessible to:</w:t>
      </w:r>
      <w:r>
        <w:t xml:space="preserve"> </w:t>
      </w:r>
      <w:r>
        <w:t xml:space="preserve">- Worker developers for verifying behavior preservation across changes</w:t>
      </w:r>
      <w:r>
        <w:t xml:space="preserve"> </w:t>
      </w:r>
      <w:r>
        <w:t xml:space="preserve">- Demo systems for showing representative use to new subscribers</w:t>
      </w:r>
      <w:r>
        <w:t xml:space="preserve"> </w:t>
      </w:r>
      <w:r>
        <w:t xml:space="preserve">- Future fine-tuning processes for improving model performance on specific worker patterns</w:t>
      </w:r>
      <w:r>
        <w:t xml:space="preserve"> </w:t>
      </w:r>
      <w:r>
        <w:t xml:space="preserve">- QA systems for regression testing</w:t>
      </w:r>
    </w:p>
    <w:p>
      <w:pPr>
        <w:pStyle w:val="BodyText"/>
      </w:pPr>
      <w:r>
        <w:rPr>
          <w:b/>
          <w:bCs/>
        </w:rPr>
        <w:t xml:space="preserve">Privacy considerations:</w:t>
      </w:r>
      <w:r>
        <w:t xml:space="preserve"> </w:t>
      </w:r>
      <w:r>
        <w:t xml:space="preserve">Fixtures intended for any cross-tenant use (demos, fine-tuning) are PII-scrubbed and re-encoded with placeholder values. Tenant-specific fixtures (used only for that tenant’s regression testing) retain their original form within the tenant’s data scope.</w:t>
      </w:r>
    </w:p>
    <w:bookmarkEnd w:id="46"/>
    <w:bookmarkStart w:id="47" w:name="terminal-worker-architecture"/>
    <w:p>
      <w:pPr>
        <w:pStyle w:val="Heading3"/>
      </w:pPr>
      <w:r>
        <w:t xml:space="preserve">Terminal Worker Architecture</w:t>
      </w:r>
    </w:p>
    <w:p>
      <w:pPr>
        <w:pStyle w:val="FirstParagraph"/>
      </w:pPr>
      <w:r>
        <w:rPr>
          <w:b/>
          <w:bCs/>
        </w:rPr>
        <w:t xml:space="preserve">Talk-to-AI surface.</w:t>
      </w:r>
      <w:r>
        <w:t xml:space="preserve"> </w:t>
      </w:r>
      <w:r>
        <w:t xml:space="preserve">The Terminal Worker presents a conversational interface (chat) to the worker author. The AI assistant guides the author through a structured worker specification flow:</w:t>
      </w:r>
      <w:r>
        <w:t xml:space="preserve"> </w:t>
      </w:r>
      <w:r>
        <w:t xml:space="preserve">- What does the worker do? (one-line summary)</w:t>
      </w:r>
      <w:r>
        <w:t xml:space="preserve"> </w:t>
      </w:r>
      <w:r>
        <w:t xml:space="preserve">- Who uses it? (target user role and vertical)</w:t>
      </w:r>
      <w:r>
        <w:t xml:space="preserve"> </w:t>
      </w:r>
      <w:r>
        <w:t xml:space="preserve">- What inputs? (data, documents, user prompts)</w:t>
      </w:r>
      <w:r>
        <w:t xml:space="preserve"> </w:t>
      </w:r>
      <w:r>
        <w:t xml:space="preserve">- What outputs? (reports, decisions, recommendations, drafted documents)</w:t>
      </w:r>
      <w:r>
        <w:t xml:space="preserve"> </w:t>
      </w:r>
      <w:r>
        <w:t xml:space="preserve">- What rules govern it? (compliance, accuracy, jurisdictional requirements)</w:t>
      </w:r>
      <w:r>
        <w:t xml:space="preserve"> </w:t>
      </w:r>
      <w:r>
        <w:t xml:space="preserve">- What must it never do? (hard stops)</w:t>
      </w:r>
    </w:p>
    <w:p>
      <w:pPr>
        <w:pStyle w:val="BodyText"/>
      </w:pPr>
      <w:r>
        <w:rPr>
          <w:b/>
          <w:bCs/>
        </w:rPr>
        <w:t xml:space="preserve">Cannot-harm-code property.</w:t>
      </w:r>
      <w:r>
        <w:t xml:space="preserve"> </w:t>
      </w:r>
      <w:r>
        <w:t xml:space="preserve">The Terminal Worker is constructed with these structural constraints:</w:t>
      </w:r>
      <w:r>
        <w:t xml:space="preserve"> </w:t>
      </w:r>
      <w:r>
        <w:t xml:space="preserve">- It has no write access to platform code, configuration files, or other tenants’ data</w:t>
      </w:r>
      <w:r>
        <w:t xml:space="preserve"> </w:t>
      </w:r>
      <w:r>
        <w:t xml:space="preserve">- It produces only structured worker specifications (JSON, YAML, or equivalent), not executable code</w:t>
      </w:r>
      <w:r>
        <w:t xml:space="preserve"> </w:t>
      </w:r>
      <w:r>
        <w:t xml:space="preserve">- Its outputs are subject to the same multi-tier rule composition check as any other worker output before being persisted</w:t>
      </w:r>
      <w:r>
        <w:t xml:space="preserve"> </w:t>
      </w:r>
      <w:r>
        <w:t xml:space="preserve">- Prompt-injection attempts in the authoring conversation cannot escalate privilege because the Terminal Worker has no privilege to escalate</w:t>
      </w:r>
    </w:p>
    <w:p>
      <w:pPr>
        <w:pStyle w:val="BodyText"/>
      </w:pPr>
      <w:r>
        <w:rPr>
          <w:b/>
          <w:bCs/>
        </w:rPr>
        <w:t xml:space="preserve">Policy-gated approval.</w:t>
      </w:r>
      <w:r>
        <w:t xml:space="preserve"> </w:t>
      </w:r>
      <w:r>
        <w:t xml:space="preserve">Worker specifications produced through the Terminal Worker enter the platform’s standard governance pipeline:</w:t>
      </w:r>
      <w:r>
        <w:t xml:space="preserve"> </w:t>
      </w:r>
      <w:r>
        <w:t xml:space="preserve">1.</w:t>
      </w:r>
      <w:r>
        <w:t xml:space="preserve"> </w:t>
      </w:r>
      <w:r>
        <w:rPr>
          <w:b/>
          <w:bCs/>
        </w:rPr>
        <w:t xml:space="preserve">Intake</w:t>
      </w:r>
      <w:r>
        <w:t xml:space="preserve"> </w:t>
      </w:r>
      <w:r>
        <w:t xml:space="preserve">— initial specification capture</w:t>
      </w:r>
      <w:r>
        <w:t xml:space="preserve"> </w:t>
      </w:r>
      <w:r>
        <w:t xml:space="preserve">2.</w:t>
      </w:r>
      <w:r>
        <w:t xml:space="preserve"> </w:t>
      </w:r>
      <w:r>
        <w:rPr>
          <w:b/>
          <w:bCs/>
        </w:rPr>
        <w:t xml:space="preserve">Research</w:t>
      </w:r>
      <w:r>
        <w:t xml:space="preserve"> </w:t>
      </w:r>
      <w:r>
        <w:t xml:space="preserve">— platform-side validation that the worker’s vertical exists, the jurisdiction is supported, the proposed rules are well-formed</w:t>
      </w:r>
      <w:r>
        <w:t xml:space="preserve"> </w:t>
      </w:r>
      <w:r>
        <w:t xml:space="preserve">3.</w:t>
      </w:r>
      <w:r>
        <w:t xml:space="preserve"> </w:t>
      </w:r>
      <w:r>
        <w:rPr>
          <w:b/>
          <w:bCs/>
        </w:rPr>
        <w:t xml:space="preserve">Rules:save</w:t>
      </w:r>
      <w:r>
        <w:t xml:space="preserve"> </w:t>
      </w:r>
      <w:r>
        <w:t xml:space="preserve">— proposed rules are previewed against the existing rule registry</w:t>
      </w:r>
      <w:r>
        <w:t xml:space="preserve"> </w:t>
      </w:r>
      <w:r>
        <w:t xml:space="preserve">4.</w:t>
      </w:r>
      <w:r>
        <w:t xml:space="preserve"> </w:t>
      </w:r>
      <w:r>
        <w:rPr>
          <w:b/>
          <w:bCs/>
        </w:rPr>
        <w:t xml:space="preserve">PrePublish</w:t>
      </w:r>
      <w:r>
        <w:t xml:space="preserve"> </w:t>
      </w:r>
      <w:r>
        <w:t xml:space="preserve">— the worker is run against a test fixture set to verify expected behavior</w:t>
      </w:r>
      <w:r>
        <w:t xml:space="preserve"> </w:t>
      </w:r>
      <w:r>
        <w:t xml:space="preserve">5.</w:t>
      </w:r>
      <w:r>
        <w:t xml:space="preserve"> </w:t>
      </w:r>
      <w:r>
        <w:rPr>
          <w:b/>
          <w:bCs/>
        </w:rPr>
        <w:t xml:space="preserve">Submit</w:t>
      </w:r>
      <w:r>
        <w:t xml:space="preserve"> </w:t>
      </w:r>
      <w:r>
        <w:t xml:space="preserve">— author submits the worker for review</w:t>
      </w:r>
      <w:r>
        <w:t xml:space="preserve"> </w:t>
      </w:r>
      <w:r>
        <w:t xml:space="preserve">6.</w:t>
      </w:r>
      <w:r>
        <w:t xml:space="preserve"> </w:t>
      </w:r>
      <w:r>
        <w:rPr>
          <w:b/>
          <w:bCs/>
        </w:rPr>
        <w:t xml:space="preserve">Admin review</w:t>
      </w:r>
      <w:r>
        <w:t xml:space="preserve"> </w:t>
      </w:r>
      <w:r>
        <w:t xml:space="preserve">— platform operator (or designated reviewer for the vertical) reviews the worker specification, rule set, and test outputs</w:t>
      </w:r>
      <w:r>
        <w:t xml:space="preserve"> </w:t>
      </w:r>
      <w:r>
        <w:t xml:space="preserve">7.</w:t>
      </w:r>
      <w:r>
        <w:t xml:space="preserve"> </w:t>
      </w:r>
      <w:r>
        <w:rPr>
          <w:b/>
          <w:bCs/>
        </w:rPr>
        <w:t xml:space="preserve">APPROVED</w:t>
      </w:r>
      <w:r>
        <w:t xml:space="preserve"> </w:t>
      </w:r>
      <w:r>
        <w:t xml:space="preserve">— the worker becomes invocable by other users</w:t>
      </w:r>
    </w:p>
    <w:p>
      <w:pPr>
        <w:pStyle w:val="BodyText"/>
      </w:pPr>
      <w:r>
        <w:t xml:space="preserve">This pipeline ensures that no worker authored through conversational interface bypasses governance.</w:t>
      </w:r>
    </w:p>
    <w:bookmarkEnd w:id="47"/>
    <w:bookmarkStart w:id="48" w:name="X6e49fe059753ccbefd2621181983013d8f7ce97"/>
    <w:p>
      <w:pPr>
        <w:pStyle w:val="Heading3"/>
      </w:pPr>
      <w:r>
        <w:t xml:space="preserve">Compounding Effects and Reference Embodiment: The Patent Worker</w:t>
      </w:r>
    </w:p>
    <w:p>
      <w:pPr>
        <w:pStyle w:val="FirstParagraph"/>
      </w:pPr>
      <w:r>
        <w:t xml:space="preserve">A representative embodiment of the System is the</w:t>
      </w:r>
      <w:r>
        <w:t xml:space="preserve"> </w:t>
      </w:r>
      <w:r>
        <w:rPr>
          <w:b/>
          <w:bCs/>
        </w:rPr>
        <w:t xml:space="preserve">Patent Worker</w:t>
      </w:r>
      <w:r>
        <w:t xml:space="preserve"> </w:t>
      </w:r>
      <w:r>
        <w:t xml:space="preserve">— a Digital Worker that itself helps users identify patentable inventions, draft provisional patent applications, manage filing logistics, and maintain a patent family.</w:t>
      </w:r>
    </w:p>
    <w:p>
      <w:pPr>
        <w:pStyle w:val="BodyText"/>
      </w:pPr>
      <w:r>
        <w:t xml:space="preserve">The Patent Worker is a particularly apt reference embodiment because it directly demonstrates the Knowledge Capture Pipeline in action:</w:t>
      </w:r>
    </w:p>
    <w:p>
      <w:pPr>
        <w:pStyle w:val="Compact"/>
        <w:numPr>
          <w:ilvl w:val="0"/>
          <w:numId w:val="1017"/>
        </w:numPr>
      </w:pPr>
      <w:r>
        <w:rPr>
          <w:b/>
          <w:bCs/>
        </w:rPr>
        <w:t xml:space="preserve">Codex Ingestion</w:t>
      </w:r>
      <w:r>
        <w:t xml:space="preserve"> </w:t>
      </w:r>
      <w:r>
        <w:t xml:space="preserve">captures patent drafting templates, prior-art citation patterns, and architectural decision records from the platform’s filing process</w:t>
      </w:r>
    </w:p>
    <w:p>
      <w:pPr>
        <w:pStyle w:val="Compact"/>
        <w:numPr>
          <w:ilvl w:val="0"/>
          <w:numId w:val="1017"/>
        </w:numPr>
      </w:pPr>
      <w:r>
        <w:rPr>
          <w:b/>
          <w:bCs/>
        </w:rPr>
        <w:t xml:space="preserve">Rule Extraction</w:t>
      </w:r>
      <w:r>
        <w:t xml:space="preserve"> </w:t>
      </w:r>
      <w:r>
        <w:t xml:space="preserve">captures the heuristics an experienced inventor uses to identify what is and is not patentable, to structure claims, to navigate USPTO prosecution</w:t>
      </w:r>
    </w:p>
    <w:p>
      <w:pPr>
        <w:pStyle w:val="Compact"/>
        <w:numPr>
          <w:ilvl w:val="0"/>
          <w:numId w:val="1017"/>
        </w:numPr>
      </w:pPr>
      <w:r>
        <w:rPr>
          <w:b/>
          <w:bCs/>
        </w:rPr>
        <w:t xml:space="preserve">Worker Fixture Capture</w:t>
      </w:r>
      <w:r>
        <w:t xml:space="preserve"> </w:t>
      </w:r>
      <w:r>
        <w:t xml:space="preserve">stores representative invention → draft → claim chains as golden-path examples for subsequent users</w:t>
      </w:r>
    </w:p>
    <w:p>
      <w:pPr>
        <w:pStyle w:val="FirstParagraph"/>
      </w:pPr>
      <w:r>
        <w:t xml:space="preserve">The Patent Worker subsequently allows users without prior patent-filing experience to invoke equivalent expert decision support: identify patentable inventions in their work, draft provisional applications, manage 12-month conversion deadlines, handle office action responses, and maintain consistent prior-art citations across a growing patent family.</w:t>
      </w:r>
    </w:p>
    <w:p>
      <w:pPr>
        <w:pStyle w:val="BodyText"/>
      </w:pPr>
      <w:r>
        <w:t xml:space="preserve">This same pattern — expert lived experience → captured by the pipeline → packaged as a Patent Worker → distributed to subsequent users — applies across every domain the System serves. Aviation pilots produce CoPilot workers. Real estate brokers produce title and closing workers. Healthcare compliance officers produce HIPAA workflow workers. Each is a specific instance of the general Knowledge Capture pattern.</w:t>
      </w:r>
    </w:p>
    <w:bookmarkEnd w:id="48"/>
    <w:bookmarkStart w:id="49" w:name="cross-industry-applications-1"/>
    <w:p>
      <w:pPr>
        <w:pStyle w:val="Heading3"/>
      </w:pPr>
      <w:r>
        <w:t xml:space="preserve">Cross-Industry Applications</w:t>
      </w:r>
    </w:p>
    <w:p>
      <w:pPr>
        <w:pStyle w:val="FirstParagraph"/>
      </w:pPr>
      <w:r>
        <w:t xml:space="preserve">The System contemplates application wherever human expertise can be productively converted into governed worker capabilities:</w:t>
      </w:r>
    </w:p>
    <w:p>
      <w:pPr>
        <w:pStyle w:val="BodyText"/>
      </w:pPr>
      <w:r>
        <w:rPr>
          <w:b/>
          <w:bCs/>
        </w:rPr>
        <w:t xml:space="preserve">Aviation:</w:t>
      </w:r>
      <w:r>
        <w:t xml:space="preserve"> </w:t>
      </w:r>
      <w:r>
        <w:t xml:space="preserve">Pilot conversations with CoPilot workers produce captured rule candidates around aircraft-specific procedures, emergency handling, type-rating differences. Each captured rule enriches the corresponding vertical baseline.</w:t>
      </w:r>
    </w:p>
    <w:p>
      <w:pPr>
        <w:pStyle w:val="BodyText"/>
      </w:pPr>
      <w:r>
        <w:rPr>
          <w:b/>
          <w:bCs/>
        </w:rPr>
        <w:t xml:space="preserve">Healthcare:</w:t>
      </w:r>
      <w:r>
        <w:t xml:space="preserve"> </w:t>
      </w:r>
      <w:r>
        <w:t xml:space="preserve">Clinical specialists conversing with platform AI produce captured rule candidates around prior-authorization criteria, drug interaction checks, clinical decision support heuristics.</w:t>
      </w:r>
    </w:p>
    <w:p>
      <w:pPr>
        <w:pStyle w:val="BodyText"/>
      </w:pPr>
      <w:r>
        <w:rPr>
          <w:b/>
          <w:bCs/>
        </w:rPr>
        <w:t xml:space="preserve">Real estate:</w:t>
      </w:r>
      <w:r>
        <w:t xml:space="preserve"> </w:t>
      </w:r>
      <w:r>
        <w:t xml:space="preserve">Title officers and escrow agents produce captured rule candidates around state-by-state recording requirements, lien priority handling, environmental disclosure obligations.</w:t>
      </w:r>
    </w:p>
    <w:p>
      <w:pPr>
        <w:pStyle w:val="BodyText"/>
      </w:pPr>
      <w:r>
        <w:rPr>
          <w:b/>
          <w:bCs/>
        </w:rPr>
        <w:t xml:space="preserve">Securities and finance:</w:t>
      </w:r>
      <w:r>
        <w:t xml:space="preserve"> </w:t>
      </w:r>
      <w:r>
        <w:t xml:space="preserve">Compliance officers produce captured rule candidates around offering exemption interpretation, blue-sky law variations, FINRA conduct rules.</w:t>
      </w:r>
    </w:p>
    <w:p>
      <w:pPr>
        <w:pStyle w:val="BodyText"/>
      </w:pPr>
      <w:r>
        <w:rPr>
          <w:b/>
          <w:bCs/>
        </w:rPr>
        <w:t xml:space="preserve">Government contracting:</w:t>
      </w:r>
      <w:r>
        <w:t xml:space="preserve"> </w:t>
      </w:r>
      <w:r>
        <w:t xml:space="preserve">Contracts officers produce captured rule candidates around FAR/DFARS application, set-aside qualification, past performance evaluation.</w:t>
      </w:r>
    </w:p>
    <w:p>
      <w:pPr>
        <w:pStyle w:val="BodyText"/>
      </w:pPr>
      <w:r>
        <w:rPr>
          <w:b/>
          <w:bCs/>
        </w:rPr>
        <w:t xml:space="preserve">Automotive dealer:</w:t>
      </w:r>
      <w:r>
        <w:t xml:space="preserve"> </w:t>
      </w:r>
      <w:r>
        <w:t xml:space="preserve">F&amp;I directors produce captured rule candidates around state advertising regulations, deal compliance, regulatory disclosure timing.</w:t>
      </w:r>
    </w:p>
    <w:p>
      <w:pPr>
        <w:pStyle w:val="BodyText"/>
      </w:pPr>
      <w:r>
        <w:rPr>
          <w:b/>
          <w:bCs/>
        </w:rPr>
        <w:t xml:space="preserve">Patent practice (reference embodiment):</w:t>
      </w:r>
      <w:r>
        <w:t xml:space="preserve"> </w:t>
      </w:r>
      <w:r>
        <w:t xml:space="preserve">Inventors, patent attorneys, and patent agents produce captured rule candidates around prior-art citation, claim drafting, prosecution response, family maintenance.</w:t>
      </w:r>
    </w:p>
    <w:p>
      <w:r>
        <w:pict>
          <v:rect style="width:0;height:1.5pt" o:hralign="center" o:hrstd="t" o:hr="t"/>
        </w:pict>
      </w:r>
    </w:p>
    <w:bookmarkEnd w:id="49"/>
    <w:bookmarkEnd w:id="50"/>
    <w:bookmarkStart w:id="51" w:name="brief-description-of-the-drawings-1"/>
    <w:p>
      <w:pPr>
        <w:pStyle w:val="Heading2"/>
      </w:pPr>
      <w:r>
        <w:t xml:space="preserve">BRIEF DESCRIPTION OF THE DRAWINGS</w:t>
      </w:r>
    </w:p>
    <w:p>
      <w:pPr>
        <w:pStyle w:val="FirstParagraph"/>
      </w:pPr>
      <w:r>
        <w:t xml:space="preserve">(To be supplied with formal drawings prior to filing.)</w:t>
      </w:r>
    </w:p>
    <w:p>
      <w:pPr>
        <w:pStyle w:val="BodyText"/>
      </w:pPr>
      <w:r>
        <w:rPr>
          <w:b/>
          <w:bCs/>
        </w:rPr>
        <w:t xml:space="preserve">Figure 1:</w:t>
      </w:r>
      <w:r>
        <w:t xml:space="preserve"> </w:t>
      </w:r>
      <w:r>
        <w:t xml:space="preserve">System architecture overview showing the three ingestion jobs (Codex Ingestion, Rule Extraction, Worker Fixture Capture), the candidate review queue, the rule registry, the worker fixture library, and the Terminal Worker authoring surface.</w:t>
      </w:r>
    </w:p>
    <w:p>
      <w:pPr>
        <w:pStyle w:val="BodyText"/>
      </w:pPr>
      <w:r>
        <w:rPr>
          <w:b/>
          <w:bCs/>
        </w:rPr>
        <w:t xml:space="preserve">Figure 2:</w:t>
      </w:r>
      <w:r>
        <w:t xml:space="preserve"> </w:t>
      </w:r>
      <w:r>
        <w:t xml:space="preserve">Codex Ingestion job flow showing input directory polling, file parsing (regex + AI-mediated), candidate extraction, and review queue insertion.</w:t>
      </w:r>
    </w:p>
    <w:p>
      <w:pPr>
        <w:pStyle w:val="BodyText"/>
      </w:pPr>
      <w:r>
        <w:rPr>
          <w:b/>
          <w:bCs/>
        </w:rPr>
        <w:t xml:space="preserve">Figure 3:</w:t>
      </w:r>
      <w:r>
        <w:t xml:space="preserve"> </w:t>
      </w:r>
      <w:r>
        <w:t xml:space="preserve">Rule Extraction job flow showing conversation processing, consent verification, AI-mediated rule identification, PII scrubbing, dedup, and review queue insertion.</w:t>
      </w:r>
    </w:p>
    <w:p>
      <w:pPr>
        <w:pStyle w:val="BodyText"/>
      </w:pPr>
      <w:r>
        <w:rPr>
          <w:b/>
          <w:bCs/>
        </w:rPr>
        <w:t xml:space="preserve">Figure 4:</w:t>
      </w:r>
      <w:r>
        <w:t xml:space="preserve"> </w:t>
      </w:r>
      <w:r>
        <w:t xml:space="preserve">Worker Fixture Capture job flow showing audit-event sampling strategies, trio extraction (input, output, rule-set hash), metadata tagging, and fixture library storage.</w:t>
      </w:r>
    </w:p>
    <w:p>
      <w:pPr>
        <w:pStyle w:val="BodyText"/>
      </w:pPr>
      <w:r>
        <w:rPr>
          <w:b/>
          <w:bCs/>
        </w:rPr>
        <w:t xml:space="preserve">Figure 5:</w:t>
      </w:r>
      <w:r>
        <w:t xml:space="preserve"> </w:t>
      </w:r>
      <w:r>
        <w:t xml:space="preserve">Terminal Worker architecture diagram showing the three safety properties (talk-to-AI surface, cannot-harm-code, policy-gated approval) and the 7-stage governance pipeline (intake → research → rules:save → prePublish → submit → admin review → APPROVED).</w:t>
      </w:r>
    </w:p>
    <w:p>
      <w:pPr>
        <w:pStyle w:val="BodyText"/>
      </w:pPr>
      <w:r>
        <w:rPr>
          <w:b/>
          <w:bCs/>
        </w:rPr>
        <w:t xml:space="preserve">Figure 6:</w:t>
      </w:r>
      <w:r>
        <w:t xml:space="preserve"> </w:t>
      </w:r>
      <w:r>
        <w:t xml:space="preserve">Compounding effects diagram showing how every conversation enriches the rule candidate pool, every approved rule strengthens vertical baselines, every fixture improves demos and test coverage.</w:t>
      </w:r>
    </w:p>
    <w:p>
      <w:pPr>
        <w:pStyle w:val="BodyText"/>
      </w:pPr>
      <w:r>
        <w:rPr>
          <w:b/>
          <w:bCs/>
        </w:rPr>
        <w:t xml:space="preserve">Figure 7:</w:t>
      </w:r>
      <w:r>
        <w:t xml:space="preserve"> </w:t>
      </w:r>
      <w:r>
        <w:t xml:space="preserve">Reference embodiment: the Patent Worker. Diagram showing how the Knowledge Capture Pipeline observes inventors drafting patents, extracts patent-drafting expertise, and packages it as a worker that helps subsequent inventors who lack the expertise.</w:t>
      </w:r>
    </w:p>
    <w:p>
      <w:r>
        <w:pict>
          <v:rect style="width:0;height:1.5pt" o:hralign="center" o:hrstd="t" o:hr="t"/>
        </w:pict>
      </w:r>
    </w:p>
    <w:bookmarkEnd w:id="51"/>
    <w:bookmarkStart w:id="52" w:name="claims-1"/>
    <w:p>
      <w:pPr>
        <w:pStyle w:val="Heading2"/>
      </w:pPr>
      <w:r>
        <w:t xml:space="preserve">CLAIMS</w:t>
      </w:r>
    </w:p>
    <w:p>
      <w:pPr>
        <w:pStyle w:val="FirstParagraph"/>
      </w:pPr>
      <w:r>
        <w:t xml:space="preserve">(Provisional claims; non-limiting.)</w:t>
      </w:r>
    </w:p>
    <w:p>
      <w:pPr>
        <w:pStyle w:val="BodyText"/>
      </w:pPr>
      <w:r>
        <w:rPr>
          <w:b/>
          <w:bCs/>
        </w:rPr>
        <w:t xml:space="preserve">Claim 1.</w:t>
      </w:r>
      <w:r>
        <w:t xml:space="preserve"> </w:t>
      </w:r>
      <w:r>
        <w:t xml:space="preserve">A computer-implemented Knowledge Capture Pipeline system for converting human expert conversations into governed AI-powered software agents, the system comprising:</w:t>
      </w:r>
      <w:r>
        <w:t xml:space="preserve"> </w:t>
      </w:r>
      <w:r>
        <w:t xml:space="preserve">(a) a Codex Ingestion job that polls a designated source for structured documentation files and extracts candidate rule definitions with provenance metadata;</w:t>
      </w:r>
      <w:r>
        <w:t xml:space="preserve"> </w:t>
      </w:r>
      <w:r>
        <w:t xml:space="preserve">(b) a Rule Extraction job that processes consented user-AI conversations and identifies instructional turns expressing decision rules, heuristics, or domain-specific knowledge;</w:t>
      </w:r>
      <w:r>
        <w:t xml:space="preserve"> </w:t>
      </w:r>
      <w:r>
        <w:t xml:space="preserve">(c) a Worker Fixture Capture job that samples worker execution events from an audit chain and stores input-output-rule-set-hash trios as reusable fixtures;</w:t>
      </w:r>
      <w:r>
        <w:t xml:space="preserve"> </w:t>
      </w:r>
      <w:r>
        <w:t xml:space="preserve">(d) a human review queue receiving candidate rules from both ingestion jobs with structured approve/reject/defer actions;</w:t>
      </w:r>
      <w:r>
        <w:t xml:space="preserve"> </w:t>
      </w:r>
      <w:r>
        <w:t xml:space="preserve">(e) a rule registry storing approved rules versioned by semantic version and identified by cryptographic content hash;</w:t>
      </w:r>
      <w:r>
        <w:t xml:space="preserve"> </w:t>
      </w:r>
      <w:r>
        <w:t xml:space="preserve">(f) a worker fixture library storing captured fixtures keyed by worker slug; and</w:t>
      </w:r>
      <w:r>
        <w:t xml:space="preserve"> </w:t>
      </w:r>
      <w:r>
        <w:t xml:space="preserve">(g) a Terminal Worker authoring surface with three structural safety properties: a talk-to-AI conversational interface for non-engineer authors, a cannot-harm-code property wherein the authoring conversation produces only structured worker specifications with no path to modify platform code or other tenants’ data, and a policy-gated approval requirement wherein authored workers must pass a multi-stage governance pipeline before becoming invocable.</w:t>
      </w:r>
    </w:p>
    <w:p>
      <w:pPr>
        <w:pStyle w:val="BodyText"/>
      </w:pPr>
      <w:r>
        <w:rPr>
          <w:b/>
          <w:bCs/>
        </w:rPr>
        <w:t xml:space="preserve">Claim 2.</w:t>
      </w:r>
      <w:r>
        <w:t xml:space="preserve"> </w:t>
      </w:r>
      <w:r>
        <w:t xml:space="preserve">The system of Claim 1, wherein the Rule Extraction job applies an AI-powered analysis prompt to identify instructional turns and extracts the surrounding context including the AI assistant’s response, providing verification that the extracted rule was understood and applied.</w:t>
      </w:r>
    </w:p>
    <w:p>
      <w:pPr>
        <w:pStyle w:val="BodyText"/>
      </w:pPr>
      <w:r>
        <w:rPr>
          <w:b/>
          <w:bCs/>
        </w:rPr>
        <w:t xml:space="preserve">Claim 3.</w:t>
      </w:r>
      <w:r>
        <w:t xml:space="preserve"> </w:t>
      </w:r>
      <w:r>
        <w:t xml:space="preserve">The system of Claim 1, wherein extracted rules retain a reference to the originating conversation through an audit chain hash, providing traceability from rule through expert through audit trail.</w:t>
      </w:r>
    </w:p>
    <w:p>
      <w:pPr>
        <w:pStyle w:val="BodyText"/>
      </w:pPr>
      <w:r>
        <w:rPr>
          <w:b/>
          <w:bCs/>
        </w:rPr>
        <w:t xml:space="preserve">Claim 4.</w:t>
      </w:r>
      <w:r>
        <w:t xml:space="preserve"> </w:t>
      </w:r>
      <w:r>
        <w:t xml:space="preserve">The system of Claim 1, wherein the Rule Extraction job applies PII scrubbing to conversations before AI-mediated analysis, preserving rule substance while protecting personal information.</w:t>
      </w:r>
    </w:p>
    <w:p>
      <w:pPr>
        <w:pStyle w:val="BodyText"/>
      </w:pPr>
      <w:r>
        <w:rPr>
          <w:b/>
          <w:bCs/>
        </w:rPr>
        <w:t xml:space="preserve">Claim 5.</w:t>
      </w:r>
      <w:r>
        <w:t xml:space="preserve"> </w:t>
      </w:r>
      <w:r>
        <w:t xml:space="preserve">The system of Claim 1, wherein the Worker Fixture Capture job samples executions using one or more of: random sampling at a configurable rate, pattern-matched sampling (e.g., first 10 executions of a newly-published worker), and explicit user marking.</w:t>
      </w:r>
    </w:p>
    <w:p>
      <w:pPr>
        <w:pStyle w:val="BodyText"/>
      </w:pPr>
      <w:r>
        <w:rPr>
          <w:b/>
          <w:bCs/>
        </w:rPr>
        <w:t xml:space="preserve">Claim 6.</w:t>
      </w:r>
      <w:r>
        <w:t xml:space="preserve"> </w:t>
      </w:r>
      <w:r>
        <w:t xml:space="preserve">The system of Claim 1, wherein the Terminal Worker’s cannot-harm-code property is enforced through:</w:t>
      </w:r>
      <w:r>
        <w:t xml:space="preserve"> </w:t>
      </w:r>
      <w:r>
        <w:t xml:space="preserve">(i) the absence of any write access to platform code or other tenants’ data from the authoring conversation</w:t>
      </w:r>
      <w:r>
        <w:t xml:space="preserve"> </w:t>
      </w:r>
      <w:r>
        <w:t xml:space="preserve">(ii) the conversation producing only structured worker specifications subject to multi-tier rule composition check before persistence</w:t>
      </w:r>
      <w:r>
        <w:t xml:space="preserve"> </w:t>
      </w:r>
      <w:r>
        <w:t xml:space="preserve">(iii) prompt-injection attempts in the authoring conversation cannot escalate privilege because the Terminal Worker has no privilege to escalate.</w:t>
      </w:r>
    </w:p>
    <w:p>
      <w:pPr>
        <w:pStyle w:val="BodyText"/>
      </w:pPr>
      <w:r>
        <w:rPr>
          <w:b/>
          <w:bCs/>
        </w:rPr>
        <w:t xml:space="preserve">Claim 7.</w:t>
      </w:r>
      <w:r>
        <w:t xml:space="preserve"> </w:t>
      </w:r>
      <w:r>
        <w:t xml:space="preserve">The system of Claim 1, wherein the policy-gated approval pipeline comprises stages: intake, research, rules:save, prePublish, submit, admin review, and APPROVED, with no path to circumvent the multi-stage review.</w:t>
      </w:r>
    </w:p>
    <w:p>
      <w:pPr>
        <w:pStyle w:val="BodyText"/>
      </w:pPr>
      <w:r>
        <w:rPr>
          <w:b/>
          <w:bCs/>
        </w:rPr>
        <w:t xml:space="preserve">Claim 8.</w:t>
      </w:r>
      <w:r>
        <w:t xml:space="preserve"> </w:t>
      </w:r>
      <w:r>
        <w:t xml:space="preserve">A method for compounding platform expertise through accumulated conversations, the method comprising:</w:t>
      </w:r>
      <w:r>
        <w:t xml:space="preserve"> </w:t>
      </w:r>
      <w:r>
        <w:t xml:space="preserve">(a) capturing expert conversations with platform AI workers under explicit user consent;</w:t>
      </w:r>
      <w:r>
        <w:t xml:space="preserve"> </w:t>
      </w:r>
      <w:r>
        <w:t xml:space="preserve">(b) extracting candidate rules and worker fixtures from those conversations;</w:t>
      </w:r>
      <w:r>
        <w:t xml:space="preserve"> </w:t>
      </w:r>
      <w:r>
        <w:t xml:space="preserve">(c) routing candidates through human review;</w:t>
      </w:r>
      <w:r>
        <w:t xml:space="preserve"> </w:t>
      </w:r>
      <w:r>
        <w:t xml:space="preserve">(d) writing approved rules to a versioned content-hashed rule registry;</w:t>
      </w:r>
      <w:r>
        <w:t xml:space="preserve"> </w:t>
      </w:r>
      <w:r>
        <w:t xml:space="preserve">(e) writing approved fixtures to a worker fixture library; and</w:t>
      </w:r>
      <w:r>
        <w:t xml:space="preserve"> </w:t>
      </w:r>
      <w:r>
        <w:t xml:space="preserve">(f) making the enriched rule registry and fixture library available to all subsequent worker compositions on the platform, such that the platform’s expertise compounds with accumulated use.</w:t>
      </w:r>
    </w:p>
    <w:p>
      <w:pPr>
        <w:pStyle w:val="BodyText"/>
      </w:pPr>
      <w:r>
        <w:rPr>
          <w:b/>
          <w:bCs/>
        </w:rPr>
        <w:t xml:space="preserve">Claim 9.</w:t>
      </w:r>
      <w:r>
        <w:t xml:space="preserve"> </w:t>
      </w:r>
      <w:r>
        <w:t xml:space="preserve">The system of Claim 1, applied to a Patent Worker reference embodiment wherein inventor conversations with the platform produce captured rules around prior-art citation patterns, claim drafting heuristics, USPTO prosecution practice, and patent family maintenance, with the resulting Patent Worker subsequently invocable by users without prior patent-filing experience.</w:t>
      </w:r>
    </w:p>
    <w:p>
      <w:pPr>
        <w:pStyle w:val="BodyText"/>
      </w:pPr>
      <w:r>
        <w:rPr>
          <w:b/>
          <w:bCs/>
        </w:rPr>
        <w:t xml:space="preserve">Claim 10.</w:t>
      </w:r>
      <w:r>
        <w:t xml:space="preserve"> </w:t>
      </w:r>
      <w:r>
        <w:t xml:space="preserve">The system of Claim 1, applied to aviation wherein pilot conversations with CoPilot workers produce captured rules around aircraft-specific procedures, emergency handling, and type-rating differences.</w:t>
      </w:r>
    </w:p>
    <w:p>
      <w:pPr>
        <w:pStyle w:val="BodyText"/>
      </w:pPr>
      <w:r>
        <w:rPr>
          <w:b/>
          <w:bCs/>
        </w:rPr>
        <w:t xml:space="preserve">Claim 11.</w:t>
      </w:r>
      <w:r>
        <w:t xml:space="preserve"> </w:t>
      </w:r>
      <w:r>
        <w:t xml:space="preserve">The system of Claim 1, applied to healthcare wherein clinical specialist conversations produce captured rules around prior-authorization criteria, drug interaction checks, and clinical decision support heuristics.</w:t>
      </w:r>
    </w:p>
    <w:p>
      <w:pPr>
        <w:pStyle w:val="BodyText"/>
      </w:pPr>
      <w:r>
        <w:rPr>
          <w:b/>
          <w:bCs/>
        </w:rPr>
        <w:t xml:space="preserve">Claim 12.</w:t>
      </w:r>
      <w:r>
        <w:t xml:space="preserve"> </w:t>
      </w:r>
      <w:r>
        <w:t xml:space="preserve">The system of Claim 1, applied to real estate wherein title officers and escrow agents produce captured rules around state-by-state recording requirements, lien priority handling, and environmental disclosure obligations.</w:t>
      </w:r>
    </w:p>
    <w:p>
      <w:pPr>
        <w:pStyle w:val="BodyText"/>
      </w:pPr>
      <w:r>
        <w:rPr>
          <w:b/>
          <w:bCs/>
        </w:rPr>
        <w:t xml:space="preserve">Claim 13.</w:t>
      </w:r>
      <w:r>
        <w:t xml:space="preserve"> </w:t>
      </w:r>
      <w:r>
        <w:t xml:space="preserve">The system of Claim 1, wherein the worker fixture library serves multiple downstream consumers including: regression test sets for verifying worker behavior preservation across changes, demonstration examples for new subscribers, and training examples for future fine-tuning processes.</w:t>
      </w:r>
    </w:p>
    <w:p>
      <w:pPr>
        <w:pStyle w:val="BodyText"/>
      </w:pPr>
      <w:r>
        <w:rPr>
          <w:b/>
          <w:bCs/>
        </w:rPr>
        <w:t xml:space="preserve">Claim 14.</w:t>
      </w:r>
      <w:r>
        <w:t xml:space="preserve"> </w:t>
      </w:r>
      <w:r>
        <w:t xml:space="preserve">The system of Claim 1, wherein the compounded rule registry and worker fixture library form a data moat that is not copyable by competitors forking the open-source worker runtime, because the accumulated rules and fixtures are produced through the platform’s hosted ingestion services and reviewed in the platform’s governance pipeline.</w:t>
      </w:r>
    </w:p>
    <w:p>
      <w:pPr>
        <w:pStyle w:val="BodyText"/>
      </w:pPr>
      <w:r>
        <w:rPr>
          <w:b/>
          <w:bCs/>
        </w:rPr>
        <w:t xml:space="preserve">Claim 15.</w:t>
      </w:r>
      <w:r>
        <w:t xml:space="preserve"> </w:t>
      </w:r>
      <w:r>
        <w:t xml:space="preserve">The system of Claim 1, wherein consent for Rule Extraction processing is itself recorded as a child audit event on the user’s parent Digital Title Certificate, providing tamper-evident proof of consent grant and any subsequent revocation.</w:t>
      </w:r>
    </w:p>
    <w:p>
      <w:r>
        <w:pict>
          <v:rect style="width:0;height:1.5pt" o:hralign="center" o:hrstd="t" o:hr="t"/>
        </w:pict>
      </w:r>
    </w:p>
    <w:bookmarkEnd w:id="52"/>
    <w:bookmarkStart w:id="53" w:name="abstract-1"/>
    <w:p>
      <w:pPr>
        <w:pStyle w:val="Heading2"/>
      </w:pPr>
      <w:r>
        <w:t xml:space="preserve">ABSTRACT</w:t>
      </w:r>
    </w:p>
    <w:p>
      <w:pPr>
        <w:pStyle w:val="FirstParagraph"/>
      </w:pPr>
      <w:r>
        <w:t xml:space="preserve">A Knowledge Capture Pipeline System for converting human expert conversations into governed AI-powered software agents, comprising three ingestion jobs (Codex Ingestion polling structured documentation, Rule Extraction processing consented user-AI conversations, Worker Fixture Capture sampling audit-anchored worker executions); a human review queue routing candidate rules to versioned content-hashed approval; a rule registry and worker fixture library serving downstream worker compositions; and a Terminal Worker authoring surface with three structural safety properties (talk-to-AI conversational interface, cannot-harm-code property, policy-gated multi-stage approval) allowing non-engineer domain experts to author new workers through conversation without code-level access. The System produces compounding effects: every expert conversation enriches the rule candidate pool, every approved rule strengthens vertical baselines, every captured fixture improves demos and test coverage. The compounded rule registry and worker fixture library form a data moat against competitors copying the open-source worker runtime. Reference embodiment: a Patent Worker that captures inventor patent-drafting expertise and subsequently helps users without prior patent-filing experience identify patentable inventions, draft applications, and manage patent families. Cross-industry applicability across aviation, healthcare, real estate, securities, government contracting, automotive dealer, and patent practice.</w:t>
      </w:r>
    </w:p>
    <w:p>
      <w:r>
        <w:pict>
          <v:rect style="width:0;height:1.5pt" o:hralign="center" o:hrstd="t" o:hr="t"/>
        </w:pict>
      </w:r>
    </w:p>
    <w:bookmarkEnd w:id="53"/>
    <w:bookmarkStart w:id="54" w:name="inventorship-and-assignment-notes-1"/>
    <w:p>
      <w:pPr>
        <w:pStyle w:val="Heading2"/>
      </w:pPr>
      <w:r>
        <w:t xml:space="preserve">INVENTORSHIP AND ASSIGNMENT NOTES</w:t>
      </w:r>
    </w:p>
    <w:p>
      <w:pPr>
        <w:pStyle w:val="FirstParagraph"/>
      </w:pPr>
      <w:r>
        <w:rPr>
          <w:b/>
          <w:bCs/>
        </w:rPr>
        <w:t xml:space="preserve">Named Inventor:</w:t>
      </w:r>
      <w:r>
        <w:t xml:space="preserve"> </w:t>
      </w:r>
      <w:r>
        <w:t xml:space="preserve">Sean Lee Combs, sole inventor.</w:t>
      </w:r>
    </w:p>
    <w:p>
      <w:pPr>
        <w:pStyle w:val="BodyText"/>
      </w:pPr>
      <w:r>
        <w:rPr>
          <w:b/>
          <w:bCs/>
        </w:rPr>
        <w:t xml:space="preserve">Applicant:</w:t>
      </w:r>
      <w:r>
        <w:t xml:space="preserve"> </w:t>
      </w:r>
      <w:r>
        <w:t xml:space="preserve">SOCIII Inc., a Delaware C-corporation.</w:t>
      </w:r>
    </w:p>
    <w:p>
      <w:pPr>
        <w:pStyle w:val="BodyText"/>
      </w:pPr>
      <w:r>
        <w:rPr>
          <w:b/>
          <w:bCs/>
        </w:rPr>
        <w:t xml:space="preserve">Prior Disclosure:</w:t>
      </w:r>
      <w:r>
        <w:t xml:space="preserve"> </w:t>
      </w:r>
      <w:r>
        <w:t xml:space="preserve">A technical specification of the Knowledge Capture Pipeline architecture was previously published as CODEX 51.4 in the SOCIII platform’s public documentation repository on approximately 2026-05-19. Under 35 U.S.C. § 102(b)(1), the 12-month grace period for the inventor’s own prior disclosure remains open at the time of this filing.</w:t>
      </w:r>
    </w:p>
    <w:p>
      <w:pPr>
        <w:pStyle w:val="BodyText"/>
      </w:pPr>
      <w:r>
        <w:rPr>
          <w:b/>
          <w:bCs/>
        </w:rPr>
        <w:t xml:space="preserve">Strategic significance for fundraise:</w:t>
      </w:r>
      <w:r>
        <w:t xml:space="preserve"> </w:t>
      </w:r>
      <w:r>
        <w:t xml:space="preserve">This is the compounding-data-moat patent. Institutional investors evaluating SOCIII look for</w:t>
      </w:r>
      <w:r>
        <w:t xml:space="preserve"> </w:t>
      </w:r>
      <w:r>
        <w:t xml:space="preserve">“what gets harder for a competitor over time”</w:t>
      </w:r>
      <w:r>
        <w:t xml:space="preserve"> </w:t>
      </w:r>
      <w:r>
        <w:t xml:space="preserve">— the answer is the accumulated rule registry and worker fixture library that this pipeline produces. Without this filing, the moat is undefended IP; with it, the moat has structural protection. The Patent Worker reference embodiment is itself a concrete demonstration of the pattern (and a worker scheduled for build per Sean’s directive 2026-05-22).</w:t>
      </w:r>
    </w:p>
    <w:p>
      <w:pPr>
        <w:pStyle w:val="BodyText"/>
      </w:pPr>
      <w:r>
        <w:rPr>
          <w:b/>
          <w:bCs/>
        </w:rPr>
        <w:t xml:space="preserve">Cross-filing note:</w:t>
      </w:r>
      <w:r>
        <w:t xml:space="preserve"> </w:t>
      </w:r>
      <w:r>
        <w:t xml:space="preserve">This filing references and is referenced by Filing 1 (Identity-Anchored Hash-Chain Audit Trail) in the same filing cycle. The audit chain referenced in Claim 3 (rule provenance through audit hash) and Claim 15 (consent recording as child audit event) is the same architecture protected by Filing 1. Together, these two filings provide the audit + capture infrastructure that the four deferred June 2026 filings (AI Escrow Locker, Title and Property Assurance, RAAS Multi-Tier Composable Rules, Build-Without-Code) build upon.</w:t>
      </w:r>
    </w:p>
    <w:p>
      <w:r>
        <w:pict>
          <v:rect style="width:0;height:1.5pt" o:hralign="center" o:hrstd="t" o:hr="t"/>
        </w:pict>
      </w:r>
    </w:p>
    <w:p>
      <w:pPr>
        <w:pStyle w:val="FirstParagraph"/>
      </w:pPr>
      <w:r>
        <w:rPr>
          <w:i/>
          <w:iCs/>
        </w:rPr>
        <w:t xml:space="preserve">End of Filing 2 draft. Sean to review, refine claim language, and add formal drawings before USPTO submission.</w:t>
      </w:r>
    </w:p>
    <w:bookmarkEnd w:id="54"/>
    <w:bookmarkEnd w:id="55"/>
    <w:bookmarkStart w:id="56" w:name="filing-d-build-without-code-app-64073704"/>
    <w:p>
      <w:pPr>
        <w:pStyle w:val="Heading1"/>
      </w:pPr>
      <w:r>
        <w:t xml:space="preserve">Filing D — Build-Without-Code (App # 64/073,704)</w:t>
      </w:r>
    </w:p>
    <w:bookmarkEnd w:id="56"/>
    <w:bookmarkStart w:id="75" w:name="X7ff7f061d045c64e58074d92fba1449c561fd0b"/>
    <w:p>
      <w:pPr>
        <w:pStyle w:val="Heading1"/>
      </w:pPr>
      <w:r>
        <w:t xml:space="preserve">Filing D — Build-Without-Code Worker Authoring through Conversational AI-Mediated Specification Generation with Governance Pipeline Validation</w:t>
      </w:r>
    </w:p>
    <w:p>
      <w:pPr>
        <w:pStyle w:val="FirstParagraph"/>
      </w:pPr>
      <w:r>
        <w:rPr>
          <w:b/>
          <w:bCs/>
        </w:rPr>
        <w:t xml:space="preserve">Type:</w:t>
      </w:r>
      <w:r>
        <w:t xml:space="preserve"> </w:t>
      </w:r>
      <w:r>
        <w:t xml:space="preserve">Provisional Patent Application (35 U.S.C. § 111(b))</w:t>
      </w:r>
      <w:r>
        <w:t xml:space="preserve"> </w:t>
      </w:r>
      <w:r>
        <w:rPr>
          <w:b/>
          <w:bCs/>
        </w:rPr>
        <w:t xml:space="preserve">Filing target:</w:t>
      </w:r>
      <w:r>
        <w:t xml:space="preserve"> </w:t>
      </w:r>
      <w:r>
        <w:t xml:space="preserve">Sun 2026-05-25 via USPTO EFS-Web</w:t>
      </w:r>
      <w:r>
        <w:t xml:space="preserve"> </w:t>
      </w:r>
      <w:r>
        <w:rPr>
          <w:b/>
          <w:bCs/>
        </w:rPr>
        <w:t xml:space="preserve">Applicant:</w:t>
      </w:r>
      <w:r>
        <w:t xml:space="preserve"> </w:t>
      </w:r>
      <w:r>
        <w:t xml:space="preserve">SOCIII Inc. (Delaware C-corporation)</w:t>
      </w:r>
      <w:r>
        <w:t xml:space="preserve"> </w:t>
      </w:r>
      <w:r>
        <w:rPr>
          <w:b/>
          <w:bCs/>
        </w:rPr>
        <w:t xml:space="preserve">Named Inventor:</w:t>
      </w:r>
      <w:r>
        <w:t xml:space="preserve"> </w:t>
      </w:r>
      <w:r>
        <w:t xml:space="preserve">Sean Lee Combs</w:t>
      </w:r>
      <w:r>
        <w:t xml:space="preserve"> </w:t>
      </w:r>
      <w:r>
        <w:rPr>
          <w:b/>
          <w:bCs/>
        </w:rPr>
        <w:t xml:space="preserve">Small entity status:</w:t>
      </w:r>
      <w:r>
        <w:t xml:space="preserve"> </w:t>
      </w:r>
      <w:r>
        <w:t xml:space="preserve">Yes</w:t>
      </w:r>
      <w:r>
        <w:t xml:space="preserve"> </w:t>
      </w:r>
      <w:r>
        <w:rPr>
          <w:b/>
          <w:bCs/>
        </w:rPr>
        <w:t xml:space="preserve">Estimated filing fee:</w:t>
      </w:r>
      <w:r>
        <w:t xml:space="preserve"> </w:t>
      </w:r>
      <w:r>
        <w:t xml:space="preserve">$120</w:t>
      </w:r>
    </w:p>
    <w:p>
      <w:r>
        <w:pict>
          <v:rect style="width:0;height:1.5pt" o:hralign="center" o:hrstd="t" o:hr="t"/>
        </w:pict>
      </w:r>
    </w:p>
    <w:bookmarkStart w:id="57" w:name="title-of-invention-2"/>
    <w:p>
      <w:pPr>
        <w:pStyle w:val="Heading2"/>
      </w:pPr>
      <w:r>
        <w:t xml:space="preserve">TITLE OF INVENTION</w:t>
      </w:r>
    </w:p>
    <w:p>
      <w:pPr>
        <w:pStyle w:val="FirstParagraph"/>
      </w:pPr>
      <w:r>
        <w:rPr>
          <w:b/>
          <w:bCs/>
        </w:rPr>
        <w:t xml:space="preserve">Build-Without-Code Worker Authoring System for Conversational AI-Mediated Specification Generation by Non-Engineer Domain Experts, with Structural Safety Properties and Multi-Stage Governance Pipeline Validation</w:t>
      </w:r>
    </w:p>
    <w:p>
      <w:r>
        <w:pict>
          <v:rect style="width:0;height:1.5pt" o:hralign="center" o:hrstd="t" o:hr="t"/>
        </w:pict>
      </w:r>
    </w:p>
    <w:bookmarkEnd w:id="57"/>
    <w:bookmarkStart w:id="58" w:name="field-of-the-invention-2"/>
    <w:p>
      <w:pPr>
        <w:pStyle w:val="Heading2"/>
      </w:pPr>
      <w:r>
        <w:t xml:space="preserve">FIELD OF THE INVENTION</w:t>
      </w:r>
    </w:p>
    <w:p>
      <w:pPr>
        <w:pStyle w:val="FirstParagraph"/>
      </w:pPr>
      <w:r>
        <w:t xml:space="preserve">The present invention relates to systems for authoring AI-powered software agents (referred to herein as</w:t>
      </w:r>
      <w:r>
        <w:t xml:space="preserve"> </w:t>
      </w:r>
      <w:r>
        <w:t xml:space="preserve">“Digital Workers”</w:t>
      </w:r>
      <w:r>
        <w:t xml:space="preserve">), and more particularly to a user-experience pattern wherein non-engineer domain experts (clinicians, pilots, brokers, instructors, compliance officers, and similar professionals lacking software engineering literacy) author deployable AI workers through a structured conversational dialog with an AI-mediated authoring interface, with the conversation producing structured worker specifications (not executable code) that pass through a multi-stage governance pipeline before becoming invocable by other users — providing the accessibility advantages of natural-language authoring while preserving the safety advantages of governed deployment.</w:t>
      </w:r>
    </w:p>
    <w:p>
      <w:r>
        <w:pict>
          <v:rect style="width:0;height:1.5pt" o:hralign="center" o:hrstd="t" o:hr="t"/>
        </w:pict>
      </w:r>
    </w:p>
    <w:bookmarkEnd w:id="58"/>
    <w:bookmarkStart w:id="63" w:name="background-of-the-invention-2"/>
    <w:p>
      <w:pPr>
        <w:pStyle w:val="Heading2"/>
      </w:pPr>
      <w:r>
        <w:t xml:space="preserve">BACKGROUND OF THE INVENTION</w:t>
      </w:r>
    </w:p>
    <w:bookmarkStart w:id="59" w:name="continuous-invention-thread-2"/>
    <w:p>
      <w:pPr>
        <w:pStyle w:val="Heading3"/>
      </w:pPr>
      <w:r>
        <w:t xml:space="preserve">Continuous Invention Thread</w:t>
      </w:r>
    </w:p>
    <w:p>
      <w:pPr>
        <w:pStyle w:val="FirstParagraph"/>
      </w:pPr>
      <w:r>
        <w:t xml:space="preserve">This invention extends a continuous body of work in AI-mediated governance and parent-child digital identity architecture, including U.S. Patent Application No. 18/398,973 (Combs, filed December 28, 2023; abandoned in prosecution and published as prior art approximately June 28, 2025) which disclosed foundational parent-child Digital Title Certificate (DTC) architecture, and the December 2024 Blockchain Logbook System filing (Combs) which extended that architecture to dynamically-updatable logbook records. The present invention is a focused contribution claiming the</w:t>
      </w:r>
      <w:r>
        <w:t xml:space="preserve"> </w:t>
      </w:r>
      <w:r>
        <w:rPr>
          <w:b/>
          <w:bCs/>
        </w:rPr>
        <w:t xml:space="preserve">conversational worker authoring user-experience pattern</w:t>
      </w:r>
      <w:r>
        <w:t xml:space="preserve"> </w:t>
      </w:r>
      <w:r>
        <w:t xml:space="preserve">— the specific architecture by which non-engineer domain experts produce deployable AI workers through structured natural-language dialog without ever interacting with code, while the resulting workers pass through the same governance validation that any platform-built worker would face.</w:t>
      </w:r>
    </w:p>
    <w:p>
      <w:pPr>
        <w:pStyle w:val="BodyText"/>
      </w:pPr>
      <w:r>
        <w:t xml:space="preserve">This filing is structurally related to a co-pending Knowledge Capture Pipeline filing (Filing 2 in the same May 2026 filing cycle) which discloses the Terminal Worker safety architecture as one component of a broader pipeline. The present invention focuses specifically on the conversational authoring UX pattern as a standalone claim — different claim scope, different protection, both intended to issue.</w:t>
      </w:r>
    </w:p>
    <w:bookmarkEnd w:id="59"/>
    <w:bookmarkStart w:id="60" w:name="Xb548ef87967790d02957c55f6e7ea45d24a83fa"/>
    <w:p>
      <w:pPr>
        <w:pStyle w:val="Heading3"/>
      </w:pPr>
      <w:r>
        <w:t xml:space="preserve">Background — The Accessibility Gap in AI Agent Authoring</w:t>
      </w:r>
    </w:p>
    <w:p>
      <w:pPr>
        <w:pStyle w:val="FirstParagraph"/>
      </w:pPr>
      <w:r>
        <w:t xml:space="preserve">The deployment of AI-powered software agents in regulated industries requires agents that operate within the rules, conventions, and accumulated wisdom of human domain experts. However, the people with the deepest domain expertise — practicing nurses, working pilots, experienced brokers, senior compliance officers, certified financial planners, licensed real estate appraisers, and similar professionals — are typically NOT software engineers. They cannot author AI agents through code, and existing prompt-engineering interfaces are too unstructured to produce reliably-deployable agents.</w:t>
      </w:r>
    </w:p>
    <w:p>
      <w:pPr>
        <w:pStyle w:val="BodyText"/>
      </w:pPr>
      <w:r>
        <w:t xml:space="preserve">The standard approaches all have fatal accessibility gaps:</w:t>
      </w:r>
    </w:p>
    <w:p>
      <w:pPr>
        <w:numPr>
          <w:ilvl w:val="0"/>
          <w:numId w:val="1018"/>
        </w:numPr>
      </w:pPr>
      <w:r>
        <w:rPr>
          <w:b/>
          <w:bCs/>
        </w:rPr>
        <w:t xml:space="preserve">Code-based agent SDKs</w:t>
      </w:r>
      <w:r>
        <w:t xml:space="preserve"> </w:t>
      </w:r>
      <w:r>
        <w:t xml:space="preserve">(LangChain, LangGraph, AutoGen, OpenAI Assistants API, Anthropic Tools): require Python or JavaScript fluency. Excludes 99% of domain experts.</w:t>
      </w:r>
    </w:p>
    <w:p>
      <w:pPr>
        <w:numPr>
          <w:ilvl w:val="0"/>
          <w:numId w:val="1018"/>
        </w:numPr>
      </w:pPr>
      <w:r>
        <w:rPr>
          <w:b/>
          <w:bCs/>
        </w:rPr>
        <w:t xml:space="preserve">No-code agent builders</w:t>
      </w:r>
      <w:r>
        <w:t xml:space="preserve"> </w:t>
      </w:r>
      <w:r>
        <w:t xml:space="preserve">(GPT Builder, Claude Projects, Zapier Central): use form-based interfaces requiring users to know what fields to fill in. Domain experts often don’t know how to translate their expertise into the abstract slots the builders provide.</w:t>
      </w:r>
    </w:p>
    <w:p>
      <w:pPr>
        <w:numPr>
          <w:ilvl w:val="0"/>
          <w:numId w:val="1018"/>
        </w:numPr>
      </w:pPr>
      <w:r>
        <w:rPr>
          <w:b/>
          <w:bCs/>
        </w:rPr>
        <w:t xml:space="preserve">Prompt-engineering interfaces</w:t>
      </w:r>
      <w:r>
        <w:t xml:space="preserve">: open text fields where the user writes their own system prompt. Brittle output quality. No safety guarantees. No path to a governed deployment.</w:t>
      </w:r>
    </w:p>
    <w:p>
      <w:pPr>
        <w:numPr>
          <w:ilvl w:val="0"/>
          <w:numId w:val="1018"/>
        </w:numPr>
      </w:pPr>
      <w:r>
        <w:rPr>
          <w:b/>
          <w:bCs/>
        </w:rPr>
        <w:t xml:space="preserve">Hand-coded by paired engineer</w:t>
      </w:r>
      <w:r>
        <w:t xml:space="preserve">: a domain expert pairs with a software engineer who translates the expert’s knowledge into agent configuration. Expensive (engineer time), slow (multiple iteration cycles), lossy (engineer rarely captures the expert’s complete tacit knowledge).</w:t>
      </w:r>
    </w:p>
    <w:p>
      <w:pPr>
        <w:pStyle w:val="FirstParagraph"/>
      </w:pPr>
      <w:r>
        <w:t xml:space="preserve">None of these methods allow the most natural workflow:</w:t>
      </w:r>
      <w:r>
        <w:t xml:space="preserve"> </w:t>
      </w:r>
      <w:r>
        <w:rPr>
          <w:b/>
          <w:bCs/>
        </w:rPr>
        <w:t xml:space="preserve">a domain expert describing what their agent should do, in their own words, to an AI assistant that asks clarifying questions and produces a deployable result.</w:t>
      </w:r>
    </w:p>
    <w:bookmarkEnd w:id="60"/>
    <w:bookmarkStart w:id="61" w:name="X8e99b152614c79122362a022cc62c8f966d8f08"/>
    <w:p>
      <w:pPr>
        <w:pStyle w:val="Heading3"/>
      </w:pPr>
      <w:r>
        <w:t xml:space="preserve">Background — The Safety Gap in Conversational Authoring</w:t>
      </w:r>
    </w:p>
    <w:p>
      <w:pPr>
        <w:pStyle w:val="FirstParagraph"/>
      </w:pPr>
      <w:r>
        <w:t xml:space="preserve">A naive implementation of</w:t>
      </w:r>
      <w:r>
        <w:t xml:space="preserve"> </w:t>
      </w:r>
      <w:r>
        <w:t xml:space="preserve">“let the user describe an agent and the AI builds it”</w:t>
      </w:r>
      <w:r>
        <w:t xml:space="preserve"> </w:t>
      </w:r>
      <w:r>
        <w:t xml:space="preserve">introduces severe safety problems:</w:t>
      </w:r>
    </w:p>
    <w:p>
      <w:pPr>
        <w:numPr>
          <w:ilvl w:val="0"/>
          <w:numId w:val="1019"/>
        </w:numPr>
      </w:pPr>
      <w:r>
        <w:rPr>
          <w:b/>
          <w:bCs/>
        </w:rPr>
        <w:t xml:space="preserve">Prompt injection through authoring</w:t>
      </w:r>
      <w:r>
        <w:t xml:space="preserve">: an adversarial user describes an agent in terms that include instructions to modify the platform, exfiltrate other users’ data, or grant elevated privileges. If the authoring system treats the description as instructions, the platform is compromised.</w:t>
      </w:r>
    </w:p>
    <w:p>
      <w:pPr>
        <w:numPr>
          <w:ilvl w:val="0"/>
          <w:numId w:val="1019"/>
        </w:numPr>
      </w:pPr>
      <w:r>
        <w:rPr>
          <w:b/>
          <w:bCs/>
        </w:rPr>
        <w:t xml:space="preserve">Inadvertent compliance violations</w:t>
      </w:r>
      <w:r>
        <w:t xml:space="preserve">: a well-meaning user describes an agent that, due to lack of domain expertise on the user’s part, would violate regulations they’re not aware of. If the system deploys without governance validation, the platform ships an out-of-compliance agent into production.</w:t>
      </w:r>
    </w:p>
    <w:p>
      <w:pPr>
        <w:numPr>
          <w:ilvl w:val="0"/>
          <w:numId w:val="1019"/>
        </w:numPr>
      </w:pPr>
      <w:r>
        <w:rPr>
          <w:b/>
          <w:bCs/>
        </w:rPr>
        <w:t xml:space="preserve">Quality drift</w:t>
      </w:r>
      <w:r>
        <w:t xml:space="preserve">: agents authored through pure conversation, without structural validation, vary wildly in quality. Some are excellent; others are nearly nonfunctional. End users cannot distinguish the difference until they’ve already wasted time on a poor agent.</w:t>
      </w:r>
    </w:p>
    <w:p>
      <w:pPr>
        <w:numPr>
          <w:ilvl w:val="0"/>
          <w:numId w:val="1019"/>
        </w:numPr>
      </w:pPr>
      <w:r>
        <w:rPr>
          <w:b/>
          <w:bCs/>
        </w:rPr>
        <w:t xml:space="preserve">No accountability chain</w:t>
      </w:r>
      <w:r>
        <w:t xml:space="preserve">: when an authored agent produces a harmful output later, no governance record exists tying the agent back to the authoring decisions, the rules applied, or the validation steps taken. Audit becomes impossible.</w:t>
      </w:r>
    </w:p>
    <w:bookmarkEnd w:id="61"/>
    <w:bookmarkStart w:id="62" w:name="prior-art-limitations-2"/>
    <w:p>
      <w:pPr>
        <w:pStyle w:val="Heading3"/>
      </w:pPr>
      <w:r>
        <w:t xml:space="preserve">Prior Art Limitations</w:t>
      </w:r>
    </w:p>
    <w:p>
      <w:pPr>
        <w:pStyle w:val="FirstParagraph"/>
      </w:pPr>
      <w:r>
        <w:t xml:space="preserve">The cited prior art (18/398,973 and the December 2024 logbook filing) establishes the foundational record-keeping substrate but does not address the accessibility or safety gaps in agent authoring. Existing prompt-engineering and no-code agent platforms address accessibility partially but lack the structural safety properties this invention provides.</w:t>
      </w:r>
    </w:p>
    <w:p>
      <w:pPr>
        <w:pStyle w:val="BodyText"/>
      </w:pPr>
      <w:r>
        <w:t xml:space="preserve">The present invention provides a comprehensive solution.</w:t>
      </w:r>
    </w:p>
    <w:p>
      <w:r>
        <w:pict>
          <v:rect style="width:0;height:1.5pt" o:hralign="center" o:hrstd="t" o:hr="t"/>
        </w:pict>
      </w:r>
    </w:p>
    <w:bookmarkEnd w:id="62"/>
    <w:bookmarkEnd w:id="63"/>
    <w:bookmarkStart w:id="66" w:name="summary-of-the-invention-2"/>
    <w:p>
      <w:pPr>
        <w:pStyle w:val="Heading2"/>
      </w:pPr>
      <w:r>
        <w:t xml:space="preserve">SUMMARY OF THE INVENTION</w:t>
      </w:r>
    </w:p>
    <w:p>
      <w:pPr>
        <w:pStyle w:val="FirstParagraph"/>
      </w:pPr>
      <w:r>
        <w:t xml:space="preserve">The present invention provides a Build-Without-Code Worker Authoring System (the</w:t>
      </w:r>
      <w:r>
        <w:t xml:space="preserve"> </w:t>
      </w:r>
      <w:r>
        <w:t xml:space="preserve">“System”</w:t>
      </w:r>
      <w:r>
        <w:t xml:space="preserve">) with three structural safety properties and a multi-stage governance pipeline, comprising:</w:t>
      </w:r>
    </w:p>
    <w:bookmarkStart w:id="64" w:name="Xf8df103a9b32e98a00adcca1ea301dcda32923f"/>
    <w:p>
      <w:pPr>
        <w:pStyle w:val="Heading3"/>
      </w:pPr>
      <w:r>
        <w:t xml:space="preserve">Three Structural Safety Properties of the Authoring Interface</w:t>
      </w:r>
    </w:p>
    <w:p>
      <w:pPr>
        <w:numPr>
          <w:ilvl w:val="0"/>
          <w:numId w:val="1020"/>
        </w:numPr>
      </w:pPr>
      <w:r>
        <w:rPr>
          <w:b/>
          <w:bCs/>
        </w:rPr>
        <w:t xml:space="preserve">Talk-to-AI conversational surface.</w:t>
      </w:r>
      <w:r>
        <w:t xml:space="preserve"> </w:t>
      </w:r>
      <w:r>
        <w:t xml:space="preserve">The author interacts with an AI assistant through structured natural-language dialog. The assistant guides the author through a worker specification flow asking targeted questions in a defined order:</w:t>
      </w:r>
    </w:p>
    <w:p>
      <w:pPr>
        <w:pStyle w:val="Compact"/>
        <w:numPr>
          <w:ilvl w:val="1"/>
          <w:numId w:val="1021"/>
        </w:numPr>
      </w:pPr>
      <w:r>
        <w:t xml:space="preserve">What does the worker do? (one-line purpose)</w:t>
      </w:r>
    </w:p>
    <w:p>
      <w:pPr>
        <w:pStyle w:val="Compact"/>
        <w:numPr>
          <w:ilvl w:val="1"/>
          <w:numId w:val="1021"/>
        </w:numPr>
      </w:pPr>
      <w:r>
        <w:t xml:space="preserve">Who uses it? (target user role and vertical)</w:t>
      </w:r>
    </w:p>
    <w:p>
      <w:pPr>
        <w:pStyle w:val="Compact"/>
        <w:numPr>
          <w:ilvl w:val="1"/>
          <w:numId w:val="1021"/>
        </w:numPr>
      </w:pPr>
      <w:r>
        <w:t xml:space="preserve">What inputs does it take? (data types, documents, prompts)</w:t>
      </w:r>
    </w:p>
    <w:p>
      <w:pPr>
        <w:pStyle w:val="Compact"/>
        <w:numPr>
          <w:ilvl w:val="1"/>
          <w:numId w:val="1021"/>
        </w:numPr>
      </w:pPr>
      <w:r>
        <w:t xml:space="preserve">What outputs does it produce? (reports, decisions, recommendations, drafts)</w:t>
      </w:r>
    </w:p>
    <w:p>
      <w:pPr>
        <w:pStyle w:val="Compact"/>
        <w:numPr>
          <w:ilvl w:val="1"/>
          <w:numId w:val="1021"/>
        </w:numPr>
      </w:pPr>
      <w:r>
        <w:t xml:space="preserve">What rules must it follow? (compliance, accuracy, jurisdictional constraints)</w:t>
      </w:r>
    </w:p>
    <w:p>
      <w:pPr>
        <w:pStyle w:val="Compact"/>
        <w:numPr>
          <w:ilvl w:val="1"/>
          <w:numId w:val="1021"/>
        </w:numPr>
      </w:pPr>
      <w:r>
        <w:t xml:space="preserve">What must it never do? (hard stops, prohibited actions)</w:t>
      </w:r>
    </w:p>
    <w:p>
      <w:pPr>
        <w:pStyle w:val="Compact"/>
        <w:numPr>
          <w:ilvl w:val="1"/>
          <w:numId w:val="1021"/>
        </w:numPr>
      </w:pPr>
      <w:r>
        <w:t xml:space="preserve">What data sources should it use? (connector library selection)</w:t>
      </w:r>
    </w:p>
    <w:p>
      <w:pPr>
        <w:pStyle w:val="Compact"/>
        <w:numPr>
          <w:ilvl w:val="1"/>
          <w:numId w:val="1021"/>
        </w:numPr>
      </w:pPr>
      <w:r>
        <w:t xml:space="preserve">What pricing tier? (free, $29, $49, $79)</w:t>
      </w:r>
    </w:p>
    <w:p>
      <w:pPr>
        <w:numPr>
          <w:ilvl w:val="0"/>
          <w:numId w:val="1000"/>
        </w:numPr>
      </w:pPr>
      <w:r>
        <w:t xml:space="preserve">The dialog is structured but conversational — the user answers in natural language; the assistant follows up with clarifying questions; the cumulative answers produce a worker specification.</w:t>
      </w:r>
    </w:p>
    <w:p>
      <w:pPr>
        <w:numPr>
          <w:ilvl w:val="0"/>
          <w:numId w:val="1020"/>
        </w:numPr>
      </w:pPr>
      <w:r>
        <w:rPr>
          <w:b/>
          <w:bCs/>
        </w:rPr>
        <w:t xml:space="preserve">Cannot-harm-code property.</w:t>
      </w:r>
      <w:r>
        <w:t xml:space="preserve"> </w:t>
      </w:r>
      <w:r>
        <w:t xml:space="preserve">The authoring conversation produces ONLY structured worker specifications (JSON, YAML, or equivalent structured data), never executable code. The specification format is the only thing the user can produce through this surface. The authoring system has:</w:t>
      </w:r>
    </w:p>
    <w:p>
      <w:pPr>
        <w:pStyle w:val="Compact"/>
        <w:numPr>
          <w:ilvl w:val="1"/>
          <w:numId w:val="1022"/>
        </w:numPr>
      </w:pPr>
      <w:r>
        <w:t xml:space="preserve">No write access to platform code or platform configuration</w:t>
      </w:r>
    </w:p>
    <w:p>
      <w:pPr>
        <w:pStyle w:val="Compact"/>
        <w:numPr>
          <w:ilvl w:val="1"/>
          <w:numId w:val="1022"/>
        </w:numPr>
      </w:pPr>
      <w:r>
        <w:t xml:space="preserve">No write access to other tenants’ data</w:t>
      </w:r>
    </w:p>
    <w:p>
      <w:pPr>
        <w:pStyle w:val="Compact"/>
        <w:numPr>
          <w:ilvl w:val="1"/>
          <w:numId w:val="1022"/>
        </w:numPr>
      </w:pPr>
      <w:r>
        <w:t xml:space="preserve">No execution path for arbitrary code</w:t>
      </w:r>
    </w:p>
    <w:p>
      <w:pPr>
        <w:pStyle w:val="Compact"/>
        <w:numPr>
          <w:ilvl w:val="1"/>
          <w:numId w:val="1022"/>
        </w:numPr>
      </w:pPr>
      <w:r>
        <w:t xml:space="preserve">No mechanism by which the conversation itself can elevate the user’s privileges</w:t>
      </w:r>
    </w:p>
    <w:p>
      <w:pPr>
        <w:pStyle w:val="Compact"/>
        <w:numPr>
          <w:ilvl w:val="1"/>
          <w:numId w:val="1022"/>
        </w:numPr>
      </w:pPr>
      <w:r>
        <w:t xml:space="preserve">No way for prompt-injection attempts in the dialog to bypass the structural constraints, because the user has no privileges to elevate via the dialog</w:t>
      </w:r>
    </w:p>
    <w:p>
      <w:pPr>
        <w:numPr>
          <w:ilvl w:val="0"/>
          <w:numId w:val="1000"/>
        </w:numPr>
      </w:pPr>
      <w:r>
        <w:t xml:space="preserve">This is enforced at the system architecture level, not at the policy level. The authoring system simply does not have the capabilities that would be required for these violations to occur, regardless of what is said in the conversation.</w:t>
      </w:r>
    </w:p>
    <w:p>
      <w:pPr>
        <w:numPr>
          <w:ilvl w:val="0"/>
          <w:numId w:val="1020"/>
        </w:numPr>
      </w:pPr>
      <w:r>
        <w:rPr>
          <w:b/>
          <w:bCs/>
        </w:rPr>
        <w:t xml:space="preserve">Policy-gated deployment.</w:t>
      </w:r>
      <w:r>
        <w:t xml:space="preserve"> </w:t>
      </w:r>
      <w:r>
        <w:t xml:space="preserve">The worker specification produced through the conversation must pass through a multi-stage governance pipeline before becoming invocable by other users:</w:t>
      </w:r>
    </w:p>
    <w:p>
      <w:pPr>
        <w:pStyle w:val="Compact"/>
        <w:numPr>
          <w:ilvl w:val="1"/>
          <w:numId w:val="1023"/>
        </w:numPr>
      </w:pPr>
      <w:r>
        <w:rPr>
          <w:b/>
          <w:bCs/>
        </w:rPr>
        <w:t xml:space="preserve">Stage 1 — Intake:</w:t>
      </w:r>
      <w:r>
        <w:t xml:space="preserve"> </w:t>
      </w:r>
      <w:r>
        <w:t xml:space="preserve">initial specification capture</w:t>
      </w:r>
    </w:p>
    <w:p>
      <w:pPr>
        <w:pStyle w:val="Compact"/>
        <w:numPr>
          <w:ilvl w:val="1"/>
          <w:numId w:val="1023"/>
        </w:numPr>
      </w:pPr>
      <w:r>
        <w:rPr>
          <w:b/>
          <w:bCs/>
        </w:rPr>
        <w:t xml:space="preserve">Stage 2 — Research:</w:t>
      </w:r>
      <w:r>
        <w:t xml:space="preserve"> </w:t>
      </w:r>
      <w:r>
        <w:t xml:space="preserve">platform-side validation that the worker’s declared vertical exists, the jurisdiction is supported, the proposed rules are well-formed, and no obvious safety issues exist</w:t>
      </w:r>
    </w:p>
    <w:p>
      <w:pPr>
        <w:pStyle w:val="Compact"/>
        <w:numPr>
          <w:ilvl w:val="1"/>
          <w:numId w:val="1023"/>
        </w:numPr>
      </w:pPr>
      <w:r>
        <w:rPr>
          <w:b/>
          <w:bCs/>
        </w:rPr>
        <w:t xml:space="preserve">Stage 3 — Rules:save:</w:t>
      </w:r>
      <w:r>
        <w:t xml:space="preserve"> </w:t>
      </w:r>
      <w:r>
        <w:t xml:space="preserve">the proposed rule set is composed and previewed against the existing rule registry</w:t>
      </w:r>
    </w:p>
    <w:p>
      <w:pPr>
        <w:pStyle w:val="Compact"/>
        <w:numPr>
          <w:ilvl w:val="1"/>
          <w:numId w:val="1023"/>
        </w:numPr>
      </w:pPr>
      <w:r>
        <w:rPr>
          <w:b/>
          <w:bCs/>
        </w:rPr>
        <w:t xml:space="preserve">Stage 4 — PrePublish:</w:t>
      </w:r>
      <w:r>
        <w:t xml:space="preserve"> </w:t>
      </w:r>
      <w:r>
        <w:t xml:space="preserve">the worker is run against a test fixture set to verify expected behavior</w:t>
      </w:r>
    </w:p>
    <w:p>
      <w:pPr>
        <w:pStyle w:val="Compact"/>
        <w:numPr>
          <w:ilvl w:val="1"/>
          <w:numId w:val="1023"/>
        </w:numPr>
      </w:pPr>
      <w:r>
        <w:rPr>
          <w:b/>
          <w:bCs/>
        </w:rPr>
        <w:t xml:space="preserve">Stage 5 — Submit:</w:t>
      </w:r>
      <w:r>
        <w:t xml:space="preserve"> </w:t>
      </w:r>
      <w:r>
        <w:t xml:space="preserve">the author submits the worker for review</w:t>
      </w:r>
    </w:p>
    <w:p>
      <w:pPr>
        <w:pStyle w:val="Compact"/>
        <w:numPr>
          <w:ilvl w:val="1"/>
          <w:numId w:val="1023"/>
        </w:numPr>
      </w:pPr>
      <w:r>
        <w:rPr>
          <w:b/>
          <w:bCs/>
        </w:rPr>
        <w:t xml:space="preserve">Stage 6 — Admin Review:</w:t>
      </w:r>
      <w:r>
        <w:t xml:space="preserve"> </w:t>
      </w:r>
      <w:r>
        <w:t xml:space="preserve">a platform operator (or a designated reviewer for the worker’s vertical) reviews the specification, rule set, and test outputs</w:t>
      </w:r>
    </w:p>
    <w:p>
      <w:pPr>
        <w:pStyle w:val="Compact"/>
        <w:numPr>
          <w:ilvl w:val="1"/>
          <w:numId w:val="1023"/>
        </w:numPr>
      </w:pPr>
      <w:r>
        <w:rPr>
          <w:b/>
          <w:bCs/>
        </w:rPr>
        <w:t xml:space="preserve">Stage 7 — APPROVED:</w:t>
      </w:r>
      <w:r>
        <w:t xml:space="preserve"> </w:t>
      </w:r>
      <w:r>
        <w:t xml:space="preserve">the worker becomes invocable</w:t>
      </w:r>
    </w:p>
    <w:p>
      <w:pPr>
        <w:numPr>
          <w:ilvl w:val="0"/>
          <w:numId w:val="1000"/>
        </w:numPr>
      </w:pPr>
      <w:r>
        <w:t xml:space="preserve">The author cannot self-approve. The author cannot bypass any stage. The author cannot deploy a worker that has failed any preceding stage.</w:t>
      </w:r>
    </w:p>
    <w:bookmarkEnd w:id="64"/>
    <w:bookmarkStart w:id="65" w:name="compounding-effects-1"/>
    <w:p>
      <w:pPr>
        <w:pStyle w:val="Heading3"/>
      </w:pPr>
      <w:r>
        <w:t xml:space="preserve">Compounding Effects</w:t>
      </w:r>
    </w:p>
    <w:p>
      <w:pPr>
        <w:pStyle w:val="FirstParagraph"/>
      </w:pPr>
      <w:r>
        <w:t xml:space="preserve">The same authoring conversation that produces a deployed worker also produces input data for the Knowledge Capture Pipeline (co-pending filing): the conversation becomes training material for future authoring assistants, and the worker fixtures become demo / training / regression-test resources for the platform.</w:t>
      </w:r>
    </w:p>
    <w:p>
      <w:pPr>
        <w:pStyle w:val="BodyText"/>
      </w:pPr>
      <w:r>
        <w:t xml:space="preserve">This compounding property means every successful worker authored through the System makes future authoring sessions more effective, building a domain-knowledge moat that competitors cannot replicate without similar volume of authored workers.</w:t>
      </w:r>
    </w:p>
    <w:p>
      <w:r>
        <w:pict>
          <v:rect style="width:0;height:1.5pt" o:hralign="center" o:hrstd="t" o:hr="t"/>
        </w:pict>
      </w:r>
    </w:p>
    <w:bookmarkEnd w:id="65"/>
    <w:bookmarkEnd w:id="66"/>
    <w:bookmarkStart w:id="70" w:name="detailed-description-of-embodiments-2"/>
    <w:p>
      <w:pPr>
        <w:pStyle w:val="Heading2"/>
      </w:pPr>
      <w:r>
        <w:t xml:space="preserve">DETAILED DESCRIPTION OF EMBODIMENTS</w:t>
      </w:r>
    </w:p>
    <w:bookmarkStart w:id="67" w:name="the-authoring-conversation-flow"/>
    <w:p>
      <w:pPr>
        <w:pStyle w:val="Heading3"/>
      </w:pPr>
      <w:r>
        <w:t xml:space="preserve">The Authoring Conversation Flow</w:t>
      </w:r>
    </w:p>
    <w:p>
      <w:pPr>
        <w:pStyle w:val="FirstParagraph"/>
      </w:pPr>
      <w:r>
        <w:t xml:space="preserve">A representative authoring session for a vertical worker (e.g., a Part 135 charter operator’s flight planning assistant for a specific aircraft type):</w:t>
      </w:r>
    </w:p>
    <w:p>
      <w:pPr>
        <w:numPr>
          <w:ilvl w:val="0"/>
          <w:numId w:val="1024"/>
        </w:numPr>
      </w:pPr>
      <w:r>
        <w:rPr>
          <w:b/>
          <w:bCs/>
        </w:rPr>
        <w:t xml:space="preserve">Opening.</w:t>
      </w:r>
      <w:r>
        <w:t xml:space="preserve"> </w:t>
      </w:r>
      <w:r>
        <w:t xml:space="preserve">The platform presents the authoring assistant:</w:t>
      </w:r>
      <w:r>
        <w:t xml:space="preserve"> </w:t>
      </w:r>
      <w:r>
        <w:rPr>
          <w:i/>
          <w:iCs/>
        </w:rPr>
        <w:t xml:space="preserve">“What do you do that other people always ask you for help with?”</w:t>
      </w:r>
    </w:p>
    <w:p>
      <w:pPr>
        <w:numPr>
          <w:ilvl w:val="0"/>
          <w:numId w:val="1024"/>
        </w:numPr>
      </w:pPr>
      <w:r>
        <w:rPr>
          <w:b/>
          <w:bCs/>
        </w:rPr>
        <w:t xml:space="preserve">Initial description.</w:t>
      </w:r>
      <w:r>
        <w:t xml:space="preserve"> </w:t>
      </w:r>
      <w:r>
        <w:t xml:space="preserve">The expert responds in natural language:</w:t>
      </w:r>
      <w:r>
        <w:t xml:space="preserve"> </w:t>
      </w:r>
      <w:r>
        <w:rPr>
          <w:i/>
          <w:iCs/>
        </w:rPr>
        <w:t xml:space="preserve">“I’m a chief pilot at a Part 135 operator. We fly a fleet of Pilatus PC-12s, and dispatchers constantly ask me whether they can launch a particular leg given weather, fuel, runway requirements, and the specific limitations of our PC-12s. I want to build a worker that any of my dispatchers can use to get the same answer I would give, but in 30 seconds instead of 15 minutes of back-and-forth.”</w:t>
      </w:r>
    </w:p>
    <w:p>
      <w:pPr>
        <w:numPr>
          <w:ilvl w:val="0"/>
          <w:numId w:val="1024"/>
        </w:numPr>
      </w:pPr>
      <w:r>
        <w:rPr>
          <w:b/>
          <w:bCs/>
        </w:rPr>
        <w:t xml:space="preserve">Clarifying questions.</w:t>
      </w:r>
      <w:r>
        <w:t xml:space="preserve"> </w:t>
      </w:r>
      <w:r>
        <w:t xml:space="preserve">The assistant asks targeted follow-ups:</w:t>
      </w:r>
    </w:p>
    <w:p>
      <w:pPr>
        <w:pStyle w:val="Compact"/>
        <w:numPr>
          <w:ilvl w:val="1"/>
          <w:numId w:val="1025"/>
        </w:numPr>
      </w:pPr>
      <w:r>
        <w:rPr>
          <w:i/>
          <w:iCs/>
        </w:rPr>
        <w:t xml:space="preserve">“What specifically does the dispatcher input?”</w:t>
      </w:r>
    </w:p>
    <w:p>
      <w:pPr>
        <w:pStyle w:val="Compact"/>
        <w:numPr>
          <w:ilvl w:val="1"/>
          <w:numId w:val="1025"/>
        </w:numPr>
      </w:pPr>
      <w:r>
        <w:rPr>
          <w:i/>
          <w:iCs/>
        </w:rPr>
        <w:t xml:space="preserve">“What’s the output format — a yes/no, a structured go/no-go report, or a guidance document?”</w:t>
      </w:r>
    </w:p>
    <w:p>
      <w:pPr>
        <w:pStyle w:val="Compact"/>
        <w:numPr>
          <w:ilvl w:val="1"/>
          <w:numId w:val="1025"/>
        </w:numPr>
      </w:pPr>
      <w:r>
        <w:rPr>
          <w:i/>
          <w:iCs/>
        </w:rPr>
        <w:t xml:space="preserve">“Are there any FAR/AIM rules the worker must enforce regardless of what the dispatcher inputs?”</w:t>
      </w:r>
    </w:p>
    <w:p>
      <w:pPr>
        <w:pStyle w:val="Compact"/>
        <w:numPr>
          <w:ilvl w:val="1"/>
          <w:numId w:val="1025"/>
        </w:numPr>
      </w:pPr>
      <w:r>
        <w:rPr>
          <w:i/>
          <w:iCs/>
        </w:rPr>
        <w:t xml:space="preserve">“Are there your company’s own SOPs that override the FAR baseline?”</w:t>
      </w:r>
    </w:p>
    <w:p>
      <w:pPr>
        <w:pStyle w:val="Compact"/>
        <w:numPr>
          <w:ilvl w:val="1"/>
          <w:numId w:val="1025"/>
        </w:numPr>
      </w:pPr>
      <w:r>
        <w:rPr>
          <w:i/>
          <w:iCs/>
        </w:rPr>
        <w:t xml:space="preserve">“Should this worker access live weather (FAA ADDS feed), aircraft performance tables, or both?”</w:t>
      </w:r>
    </w:p>
    <w:p>
      <w:pPr>
        <w:numPr>
          <w:ilvl w:val="0"/>
          <w:numId w:val="1024"/>
        </w:numPr>
      </w:pPr>
      <w:r>
        <w:rPr>
          <w:b/>
          <w:bCs/>
        </w:rPr>
        <w:t xml:space="preserve">Specification refinement.</w:t>
      </w:r>
      <w:r>
        <w:t xml:space="preserve"> </w:t>
      </w:r>
      <w:r>
        <w:t xml:space="preserve">The expert answers each. The assistant synthesizes the answers into a structured worker specification (JSON), continuously updated as the conversation progresses, visible to the expert as a side-panel preview.</w:t>
      </w:r>
    </w:p>
    <w:p>
      <w:pPr>
        <w:numPr>
          <w:ilvl w:val="0"/>
          <w:numId w:val="1024"/>
        </w:numPr>
      </w:pPr>
      <w:r>
        <w:rPr>
          <w:b/>
          <w:bCs/>
        </w:rPr>
        <w:t xml:space="preserve">Connector and capability selection.</w:t>
      </w:r>
      <w:r>
        <w:t xml:space="preserve"> </w:t>
      </w:r>
      <w:r>
        <w:t xml:space="preserve">The assistant offers relevant connectors based on the vertical:</w:t>
      </w:r>
      <w:r>
        <w:t xml:space="preserve"> </w:t>
      </w:r>
      <w:r>
        <w:rPr>
          <w:i/>
          <w:iCs/>
        </w:rPr>
        <w:t xml:space="preserve">“Should this worker pull live weather automatically from FAA? Free. Should it pull NOTAMs? About $0.60 per session. Live aircraft positions? Tiny cost — about $0.002 per query.”</w:t>
      </w:r>
      <w:r>
        <w:t xml:space="preserve"> </w:t>
      </w:r>
      <w:r>
        <w:t xml:space="preserve">Expert confirms which to include.</w:t>
      </w:r>
    </w:p>
    <w:p>
      <w:pPr>
        <w:numPr>
          <w:ilvl w:val="0"/>
          <w:numId w:val="1024"/>
        </w:numPr>
      </w:pPr>
      <w:r>
        <w:rPr>
          <w:b/>
          <w:bCs/>
        </w:rPr>
        <w:t xml:space="preserve">Rule-set composition.</w:t>
      </w:r>
      <w:r>
        <w:t xml:space="preserve"> </w:t>
      </w:r>
      <w:r>
        <w:t xml:space="preserve">The assistant explains:</w:t>
      </w:r>
      <w:r>
        <w:t xml:space="preserve"> </w:t>
      </w:r>
      <w:r>
        <w:rPr>
          <w:i/>
          <w:iCs/>
        </w:rPr>
        <w:t xml:space="preserve">“Based on what you told me, this worker will operate under the Part 135 baseline rules, plus your company’s SOPs as overlays, plus FAR/AIM compliance as a hard stop. The rule set is composed and will be applied to every dispatcher session. Want me to show you what the rules look like?”</w:t>
      </w:r>
    </w:p>
    <w:p>
      <w:pPr>
        <w:numPr>
          <w:ilvl w:val="0"/>
          <w:numId w:val="1024"/>
        </w:numPr>
      </w:pPr>
      <w:r>
        <w:rPr>
          <w:b/>
          <w:bCs/>
        </w:rPr>
        <w:t xml:space="preserve">Pricing decision.</w:t>
      </w:r>
      <w:r>
        <w:t xml:space="preserve"> </w:t>
      </w:r>
      <w:r>
        <w:rPr>
          <w:i/>
          <w:iCs/>
        </w:rPr>
        <w:t xml:space="preserve">“Most vertical-specific workers in regulated industries price at $79/month. Yours could go in at $49 since it’s a workflow tool not a full decision-support suite — your call.”</w:t>
      </w:r>
    </w:p>
    <w:p>
      <w:pPr>
        <w:numPr>
          <w:ilvl w:val="0"/>
          <w:numId w:val="1024"/>
        </w:numPr>
      </w:pPr>
      <w:r>
        <w:rPr>
          <w:b/>
          <w:bCs/>
        </w:rPr>
        <w:t xml:space="preserve">Specification finalization.</w:t>
      </w:r>
      <w:r>
        <w:t xml:space="preserve"> </w:t>
      </w:r>
      <w:r>
        <w:t xml:space="preserve">The assistant produces the complete worker specification and submits it to the governance pipeline.</w:t>
      </w:r>
    </w:p>
    <w:p>
      <w:pPr>
        <w:numPr>
          <w:ilvl w:val="0"/>
          <w:numId w:val="1024"/>
        </w:numPr>
      </w:pPr>
      <w:r>
        <w:rPr>
          <w:b/>
          <w:bCs/>
        </w:rPr>
        <w:t xml:space="preserve">Governance pipeline.</w:t>
      </w:r>
      <w:r>
        <w:t xml:space="preserve"> </w:t>
      </w:r>
      <w:r>
        <w:t xml:space="preserve">The seven-stage pipeline runs. The expert is notified of any issues at any stage and prompted to clarify or adjust.</w:t>
      </w:r>
    </w:p>
    <w:p>
      <w:pPr>
        <w:numPr>
          <w:ilvl w:val="0"/>
          <w:numId w:val="1024"/>
        </w:numPr>
      </w:pPr>
      <w:r>
        <w:rPr>
          <w:b/>
          <w:bCs/>
        </w:rPr>
        <w:t xml:space="preserve">Approval and publication.</w:t>
      </w:r>
      <w:r>
        <w:t xml:space="preserve"> </w:t>
      </w:r>
      <w:r>
        <w:t xml:space="preserve">Upon approval, the worker is published to the platform’s marketplace and is invocable by any platform user (subject to subscription, vertical access, and per-worker rules).</w:t>
      </w:r>
    </w:p>
    <w:bookmarkEnd w:id="67"/>
    <w:bookmarkStart w:id="68" w:name="architectural-implementation-details"/>
    <w:p>
      <w:pPr>
        <w:pStyle w:val="Heading3"/>
      </w:pPr>
      <w:r>
        <w:t xml:space="preserve">Architectural Implementation Details</w:t>
      </w:r>
    </w:p>
    <w:p>
      <w:pPr>
        <w:pStyle w:val="FirstParagraph"/>
      </w:pPr>
      <w:r>
        <w:rPr>
          <w:b/>
          <w:bCs/>
        </w:rPr>
        <w:t xml:space="preserve">The conversational interface</w:t>
      </w:r>
      <w:r>
        <w:t xml:space="preserve"> </w:t>
      </w:r>
      <w:r>
        <w:t xml:space="preserve">is rendered through the same chat UI used by all platform workers — same React component, same RAAS rule enforcement, same audit chain anchoring. From the platform’s perspective, the authoring assistant is just another worker. The difference is only in its system prompt and its constraints.</w:t>
      </w:r>
    </w:p>
    <w:p>
      <w:pPr>
        <w:pStyle w:val="BodyText"/>
      </w:pPr>
      <w:r>
        <w:rPr>
          <w:b/>
          <w:bCs/>
        </w:rPr>
        <w:t xml:space="preserve">The cannot-harm-code property is enforced at multiple layers:</w:t>
      </w:r>
      <w:r>
        <w:t xml:space="preserve"> </w:t>
      </w:r>
      <w:r>
        <w:t xml:space="preserve">- The authoring worker has no tool access to file-system writes, database mutations, or cross-tenant queries</w:t>
      </w:r>
      <w:r>
        <w:t xml:space="preserve"> </w:t>
      </w:r>
      <w:r>
        <w:t xml:space="preserve">- The authoring worker can only produce outputs of one type: a structured worker specification matching a published schema</w:t>
      </w:r>
      <w:r>
        <w:t xml:space="preserve"> </w:t>
      </w:r>
      <w:r>
        <w:t xml:space="preserve">- The platform’s pre-publish constraint check (per the co-pending Knowledge Capture filing) evaluates the produced specification against safety rules before persistence</w:t>
      </w:r>
      <w:r>
        <w:t xml:space="preserve"> </w:t>
      </w:r>
      <w:r>
        <w:t xml:space="preserve">- Prompt-injection attempts that would try to elevate privileges fail because the underlying capabilities are not granted to the authoring worker</w:t>
      </w:r>
    </w:p>
    <w:p>
      <w:pPr>
        <w:pStyle w:val="BodyText"/>
      </w:pPr>
      <w:r>
        <w:rPr>
          <w:b/>
          <w:bCs/>
        </w:rPr>
        <w:t xml:space="preserve">The governance pipeline</w:t>
      </w:r>
      <w:r>
        <w:t xml:space="preserve"> </w:t>
      </w:r>
      <w:r>
        <w:t xml:space="preserve">is implemented as a state machine with explicit state transitions:</w:t>
      </w:r>
    </w:p>
    <w:p>
      <w:pPr>
        <w:pStyle w:val="SourceCode"/>
      </w:pPr>
      <w:r>
        <w:rPr>
          <w:rStyle w:val="VerbatimChar"/>
        </w:rPr>
        <w:t xml:space="preserve">intake → research → rules:save → prePublish → submit → adminReview → APPROVED</w:t>
      </w:r>
      <w:r>
        <w:br/>
      </w:r>
      <w:r>
        <w:rPr>
          <w:rStyle w:val="VerbatimChar"/>
        </w:rPr>
        <w:t xml:space="preserve">                                                          ↓</w:t>
      </w:r>
      <w:r>
        <w:br/>
      </w:r>
      <w:r>
        <w:rPr>
          <w:rStyle w:val="VerbatimChar"/>
        </w:rPr>
        <w:t xml:space="preserve">                                                       REJECTED</w:t>
      </w:r>
    </w:p>
    <w:p>
      <w:pPr>
        <w:pStyle w:val="Compact"/>
        <w:numPr>
          <w:ilvl w:val="0"/>
          <w:numId w:val="1026"/>
        </w:numPr>
      </w:pPr>
      <w:r>
        <w:t xml:space="preserve">Each transition is itself an audit event written to the audit chain (per the co-pending Audit Trail filing)</w:t>
      </w:r>
    </w:p>
    <w:p>
      <w:pPr>
        <w:pStyle w:val="Compact"/>
        <w:numPr>
          <w:ilvl w:val="0"/>
          <w:numId w:val="1026"/>
        </w:numPr>
      </w:pPr>
      <w:r>
        <w:t xml:space="preserve">Failed transitions surface to the author with structured remediation guidance</w:t>
      </w:r>
    </w:p>
    <w:p>
      <w:pPr>
        <w:pStyle w:val="Compact"/>
        <w:numPr>
          <w:ilvl w:val="0"/>
          <w:numId w:val="1026"/>
        </w:numPr>
      </w:pPr>
      <w:r>
        <w:t xml:space="preserve">The author can revise and resubmit; each revision creates a new audit event</w:t>
      </w:r>
    </w:p>
    <w:bookmarkEnd w:id="68"/>
    <w:bookmarkStart w:id="69" w:name="variations-and-embodiments"/>
    <w:p>
      <w:pPr>
        <w:pStyle w:val="Heading3"/>
      </w:pPr>
      <w:r>
        <w:t xml:space="preserve">Variations and Embodiments</w:t>
      </w:r>
    </w:p>
    <w:p>
      <w:pPr>
        <w:pStyle w:val="FirstParagraph"/>
      </w:pPr>
      <w:r>
        <w:rPr>
          <w:b/>
          <w:bCs/>
        </w:rPr>
        <w:t xml:space="preserve">Domain-expertise-aware questioning.</w:t>
      </w:r>
      <w:r>
        <w:t xml:space="preserve"> </w:t>
      </w:r>
      <w:r>
        <w:t xml:space="preserve">The authoring assistant’s question sequence adapts to the user’s stated vertical. A nursing worker author gets different follow-up questions than a real estate worker author than a financial compliance worker author. This is implemented through Tier 2 vertical-baseline rule sets that inject vertical-specific questioning patterns into the authoring assistant’s system prompt.</w:t>
      </w:r>
    </w:p>
    <w:p>
      <w:pPr>
        <w:pStyle w:val="BodyText"/>
      </w:pPr>
      <w:r>
        <w:rPr>
          <w:b/>
          <w:bCs/>
        </w:rPr>
        <w:t xml:space="preserve">Multi-session authoring.</w:t>
      </w:r>
      <w:r>
        <w:t xml:space="preserve"> </w:t>
      </w:r>
      <w:r>
        <w:t xml:space="preserve">Complex workers may take multiple sessions to fully specify. The System persists the partial specification across sessions, with each resumption picking up where the prior session left off. Audit chain captures the full multi-session lineage.</w:t>
      </w:r>
    </w:p>
    <w:p>
      <w:pPr>
        <w:pStyle w:val="BodyText"/>
      </w:pPr>
      <w:r>
        <w:rPr>
          <w:b/>
          <w:bCs/>
        </w:rPr>
        <w:t xml:space="preserve">Collaborative authoring.</w:t>
      </w:r>
      <w:r>
        <w:t xml:space="preserve"> </w:t>
      </w:r>
      <w:r>
        <w:t xml:space="preserve">Multiple experts may co-author a single worker. The System mediates the collaboration: any participant may add to the specification; conflicts are surfaced for resolution. Audit chain captures every contribution per participant.</w:t>
      </w:r>
    </w:p>
    <w:p>
      <w:pPr>
        <w:pStyle w:val="BodyText"/>
      </w:pPr>
      <w:r>
        <w:rPr>
          <w:b/>
          <w:bCs/>
        </w:rPr>
        <w:t xml:space="preserve">Authoring assistance escalation.</w:t>
      </w:r>
      <w:r>
        <w:t xml:space="preserve"> </w:t>
      </w:r>
      <w:r>
        <w:t xml:space="preserve">When the System detects that a worker specification is approaching a complexity threshold beyond what conversational authoring can reliably produce, the assistant suggests engaging a</w:t>
      </w:r>
      <w:r>
        <w:t xml:space="preserve"> </w:t>
      </w:r>
      <w:r>
        <w:t xml:space="preserve">“Terminal mode”</w:t>
      </w:r>
      <w:r>
        <w:t xml:space="preserve"> </w:t>
      </w:r>
      <w:r>
        <w:t xml:space="preserve">pair-programmer (a more capable authoring surface for users with some coding ability) or a human SOCIII platform engineer for review.</w:t>
      </w:r>
    </w:p>
    <w:p>
      <w:pPr>
        <w:pStyle w:val="BodyText"/>
      </w:pPr>
      <w:r>
        <w:rPr>
          <w:b/>
          <w:bCs/>
        </w:rPr>
        <w:t xml:space="preserve">Vertical-specific authoring templates.</w:t>
      </w:r>
      <w:r>
        <w:t xml:space="preserve"> </w:t>
      </w:r>
      <w:r>
        <w:t xml:space="preserve">Pre-built templates for common worker patterns within each vertical (e.g., aviation:</w:t>
      </w:r>
      <w:r>
        <w:t xml:space="preserve"> </w:t>
      </w:r>
      <w:r>
        <w:t xml:space="preserve">“type-rating-specific copilot,”</w:t>
      </w:r>
      <w:r>
        <w:t xml:space="preserve"> </w:t>
      </w:r>
      <w:r>
        <w:t xml:space="preserve">“currency tracker,”</w:t>
      </w:r>
      <w:r>
        <w:t xml:space="preserve"> </w:t>
      </w:r>
      <w:r>
        <w:t xml:space="preserve">“logbook intelligence”</w:t>
      </w:r>
      <w:r>
        <w:t xml:space="preserve">; healthcare:</w:t>
      </w:r>
      <w:r>
        <w:t xml:space="preserve"> </w:t>
      </w:r>
      <w:r>
        <w:t xml:space="preserve">“protocol assistant,”</w:t>
      </w:r>
      <w:r>
        <w:t xml:space="preserve"> </w:t>
      </w:r>
      <w:r>
        <w:t xml:space="preserve">“prior-authorization workflow”</w:t>
      </w:r>
      <w:r>
        <w:t xml:space="preserve">) accelerate authoring by pre-filling the typical structure. The author fills in the specific differences.</w:t>
      </w:r>
    </w:p>
    <w:p>
      <w:pPr>
        <w:pStyle w:val="BodyText"/>
      </w:pPr>
      <w:r>
        <w:rPr>
          <w:b/>
          <w:bCs/>
        </w:rPr>
        <w:t xml:space="preserve">Author-facing rule visualization.</w:t>
      </w:r>
      <w:r>
        <w:t xml:space="preserve"> </w:t>
      </w:r>
      <w:r>
        <w:t xml:space="preserve">When the rule set is composed, the System renders a visual diagram of the rule hierarchy (Tier 0 platform safety + Tier 1 platform operations + Tier 2 vertical baseline + Tier 3 workspace overlays + Tier 4 per-worker rules) so the author can see exactly which rules will govern their worker.</w:t>
      </w:r>
    </w:p>
    <w:p>
      <w:r>
        <w:pict>
          <v:rect style="width:0;height:1.5pt" o:hralign="center" o:hrstd="t" o:hr="t"/>
        </w:pict>
      </w:r>
    </w:p>
    <w:bookmarkEnd w:id="69"/>
    <w:bookmarkEnd w:id="70"/>
    <w:bookmarkStart w:id="71" w:name="brief-description-of-the-drawings-2"/>
    <w:p>
      <w:pPr>
        <w:pStyle w:val="Heading2"/>
      </w:pPr>
      <w:r>
        <w:t xml:space="preserve">BRIEF DESCRIPTION OF THE DRAWINGS</w:t>
      </w:r>
    </w:p>
    <w:p>
      <w:pPr>
        <w:pStyle w:val="FirstParagraph"/>
      </w:pPr>
      <w:r>
        <w:t xml:space="preserve">(To be supplied with formal drawings prior to filing.)</w:t>
      </w:r>
    </w:p>
    <w:p>
      <w:pPr>
        <w:pStyle w:val="BodyText"/>
      </w:pPr>
      <w:r>
        <w:rPr>
          <w:b/>
          <w:bCs/>
        </w:rPr>
        <w:t xml:space="preserve">Figure 1:</w:t>
      </w:r>
      <w:r>
        <w:t xml:space="preserve"> </w:t>
      </w:r>
      <w:r>
        <w:t xml:space="preserve">System architecture overview showing the authoring conversational interface, the cannot-harm-code structural constraints, the governance pipeline state machine, and the integration with the platform’s existing rule composition and audit chain services.</w:t>
      </w:r>
    </w:p>
    <w:p>
      <w:pPr>
        <w:pStyle w:val="BodyText"/>
      </w:pPr>
      <w:r>
        <w:rPr>
          <w:b/>
          <w:bCs/>
        </w:rPr>
        <w:t xml:space="preserve">Figure 2:</w:t>
      </w:r>
      <w:r>
        <w:t xml:space="preserve"> </w:t>
      </w:r>
      <w:r>
        <w:t xml:space="preserve">Authoring conversation flow diagram showing the question sequence, the side-panel specification preview, and the user’s natural-language inputs at each step.</w:t>
      </w:r>
    </w:p>
    <w:p>
      <w:pPr>
        <w:pStyle w:val="BodyText"/>
      </w:pPr>
      <w:r>
        <w:rPr>
          <w:b/>
          <w:bCs/>
        </w:rPr>
        <w:t xml:space="preserve">Figure 3:</w:t>
      </w:r>
      <w:r>
        <w:t xml:space="preserve"> </w:t>
      </w:r>
      <w:r>
        <w:t xml:space="preserve">Cannot-harm-code property diagram showing what the authoring worker CAN do (produce structured specifications) and what it CANNOT do (modify code, mutate other tenants’ data, elevate privileges, execute arbitrary actions).</w:t>
      </w:r>
    </w:p>
    <w:p>
      <w:pPr>
        <w:pStyle w:val="BodyText"/>
      </w:pPr>
      <w:r>
        <w:rPr>
          <w:b/>
          <w:bCs/>
        </w:rPr>
        <w:t xml:space="preserve">Figure 4:</w:t>
      </w:r>
      <w:r>
        <w:t xml:space="preserve"> </w:t>
      </w:r>
      <w:r>
        <w:t xml:space="preserve">Governance pipeline state machine with seven stages and the transition rules between them.</w:t>
      </w:r>
    </w:p>
    <w:p>
      <w:pPr>
        <w:pStyle w:val="BodyText"/>
      </w:pPr>
      <w:r>
        <w:rPr>
          <w:b/>
          <w:bCs/>
        </w:rPr>
        <w:t xml:space="preserve">Figure 5:</w:t>
      </w:r>
      <w:r>
        <w:t xml:space="preserve"> </w:t>
      </w:r>
      <w:r>
        <w:t xml:space="preserve">Cross-vertical authoring patterns showing how the same conversational interface adapts to aviation, healthcare, real estate, automotive, government, and other domains.</w:t>
      </w:r>
    </w:p>
    <w:p>
      <w:pPr>
        <w:pStyle w:val="BodyText"/>
      </w:pPr>
      <w:r>
        <w:rPr>
          <w:b/>
          <w:bCs/>
        </w:rPr>
        <w:t xml:space="preserve">Figure 6:</w:t>
      </w:r>
      <w:r>
        <w:t xml:space="preserve"> </w:t>
      </w:r>
      <w:r>
        <w:t xml:space="preserve">Compounding effects diagram showing how each successful authored worker improves subsequent authoring sessions through the Knowledge Capture Pipeline.</w:t>
      </w:r>
    </w:p>
    <w:p>
      <w:pPr>
        <w:pStyle w:val="BodyText"/>
      </w:pPr>
      <w:r>
        <w:rPr>
          <w:b/>
          <w:bCs/>
        </w:rPr>
        <w:t xml:space="preserve">Figure 7:</w:t>
      </w:r>
      <w:r>
        <w:t xml:space="preserve"> </w:t>
      </w:r>
      <w:r>
        <w:t xml:space="preserve">Collaborative authoring flow showing multiple experts contributing to a single worker specification with conflict resolution.</w:t>
      </w:r>
    </w:p>
    <w:p>
      <w:r>
        <w:pict>
          <v:rect style="width:0;height:1.5pt" o:hralign="center" o:hrstd="t" o:hr="t"/>
        </w:pict>
      </w:r>
    </w:p>
    <w:bookmarkEnd w:id="71"/>
    <w:bookmarkStart w:id="72" w:name="claims-2"/>
    <w:p>
      <w:pPr>
        <w:pStyle w:val="Heading2"/>
      </w:pPr>
      <w:r>
        <w:t xml:space="preserve">CLAIMS</w:t>
      </w:r>
    </w:p>
    <w:p>
      <w:pPr>
        <w:pStyle w:val="FirstParagraph"/>
      </w:pPr>
      <w:r>
        <w:t xml:space="preserve">(Provisional claims; non-limiting.)</w:t>
      </w:r>
    </w:p>
    <w:p>
      <w:pPr>
        <w:pStyle w:val="BodyText"/>
      </w:pPr>
      <w:r>
        <w:rPr>
          <w:b/>
          <w:bCs/>
        </w:rPr>
        <w:t xml:space="preserve">Claim 1.</w:t>
      </w:r>
      <w:r>
        <w:t xml:space="preserve"> </w:t>
      </w:r>
      <w:r>
        <w:t xml:space="preserve">A computer-implemented worker authoring system for non-engineer domain experts, the system comprising:</w:t>
      </w:r>
      <w:r>
        <w:t xml:space="preserve"> </w:t>
      </w:r>
      <w:r>
        <w:t xml:space="preserve">(a) a conversational authoring interface presenting a structured dialog flow asking targeted questions about the worker’s purpose, users, inputs, outputs, rules, prohibited actions, data sources, and pricing tier;</w:t>
      </w:r>
      <w:r>
        <w:t xml:space="preserve"> </w:t>
      </w:r>
      <w:r>
        <w:t xml:space="preserve">(b) a specification synthesis service producing a structured worker specification from the cumulative answers, in a published schema format, never as executable code;</w:t>
      </w:r>
      <w:r>
        <w:t xml:space="preserve"> </w:t>
      </w:r>
      <w:r>
        <w:t xml:space="preserve">(c) a cannot-harm-code property enforced architecturally wherein the authoring conversation cannot modify platform code, mutate other tenants’ data, elevate user privileges, or execute arbitrary actions, regardless of inputs received during the conversation;</w:t>
      </w:r>
      <w:r>
        <w:t xml:space="preserve"> </w:t>
      </w:r>
      <w:r>
        <w:t xml:space="preserve">(d) a multi-stage governance pipeline comprising at least: intake, research, rules:save, prePublish, submit, admin review, and approved stages, wherein the author cannot self-approve and cannot bypass any stage; and</w:t>
      </w:r>
      <w:r>
        <w:t xml:space="preserve"> </w:t>
      </w:r>
      <w:r>
        <w:t xml:space="preserve">(e) an audit chain integration wherein each governance pipeline transition is recorded as a structured event for retrospective reconstruction.</w:t>
      </w:r>
    </w:p>
    <w:p>
      <w:pPr>
        <w:pStyle w:val="BodyText"/>
      </w:pPr>
      <w:r>
        <w:rPr>
          <w:b/>
          <w:bCs/>
        </w:rPr>
        <w:t xml:space="preserve">Claim 2.</w:t>
      </w:r>
      <w:r>
        <w:t xml:space="preserve"> </w:t>
      </w:r>
      <w:r>
        <w:t xml:space="preserve">The system of Claim 1, wherein the conversational interface adapts its question sequence based on the user’s stated vertical, with vertical-specific question patterns injected through a multi-tier rule composition engine.</w:t>
      </w:r>
    </w:p>
    <w:p>
      <w:pPr>
        <w:pStyle w:val="BodyText"/>
      </w:pPr>
      <w:r>
        <w:rPr>
          <w:b/>
          <w:bCs/>
        </w:rPr>
        <w:t xml:space="preserve">Claim 3.</w:t>
      </w:r>
      <w:r>
        <w:t xml:space="preserve"> </w:t>
      </w:r>
      <w:r>
        <w:t xml:space="preserve">The system of Claim 1, wherein the cannot-harm-code property is enforced through architectural absence of the capabilities that would be required for prohibited actions, rather than through policy filtering of inputs.</w:t>
      </w:r>
    </w:p>
    <w:p>
      <w:pPr>
        <w:pStyle w:val="BodyText"/>
      </w:pPr>
      <w:r>
        <w:rPr>
          <w:b/>
          <w:bCs/>
        </w:rPr>
        <w:t xml:space="preserve">Claim 4.</w:t>
      </w:r>
      <w:r>
        <w:t xml:space="preserve"> </w:t>
      </w:r>
      <w:r>
        <w:t xml:space="preserve">The system of Claim 1, wherein the governance pipeline integrates with a pre-publish constraint check service that evaluates the produced specification against multi-tier rules before persistence.</w:t>
      </w:r>
    </w:p>
    <w:p>
      <w:pPr>
        <w:pStyle w:val="BodyText"/>
      </w:pPr>
      <w:r>
        <w:rPr>
          <w:b/>
          <w:bCs/>
        </w:rPr>
        <w:t xml:space="preserve">Claim 5.</w:t>
      </w:r>
      <w:r>
        <w:t xml:space="preserve"> </w:t>
      </w:r>
      <w:r>
        <w:t xml:space="preserve">The system of Claim 1, supporting multi-session authoring wherein partial specifications persist across sessions with each resumption continuing from prior state, and wherein the audit chain captures the full multi-session lineage.</w:t>
      </w:r>
    </w:p>
    <w:p>
      <w:pPr>
        <w:pStyle w:val="BodyText"/>
      </w:pPr>
      <w:r>
        <w:rPr>
          <w:b/>
          <w:bCs/>
        </w:rPr>
        <w:t xml:space="preserve">Claim 6.</w:t>
      </w:r>
      <w:r>
        <w:t xml:space="preserve"> </w:t>
      </w:r>
      <w:r>
        <w:t xml:space="preserve">The system of Claim 1, supporting collaborative authoring wherein multiple experts may co-author a single worker specification, with the system mediating contribution conflicts and the audit chain capturing per-participant contributions.</w:t>
      </w:r>
    </w:p>
    <w:p>
      <w:pPr>
        <w:pStyle w:val="BodyText"/>
      </w:pPr>
      <w:r>
        <w:rPr>
          <w:b/>
          <w:bCs/>
        </w:rPr>
        <w:t xml:space="preserve">Claim 7.</w:t>
      </w:r>
      <w:r>
        <w:t xml:space="preserve"> </w:t>
      </w:r>
      <w:r>
        <w:t xml:space="preserve">The system of Claim 1, providing pre-built vertical-specific authoring templates that accelerate authoring by pre-filling typical worker patterns within each vertical including but not limited to aviation, healthcare, real estate, automotive, government, education, financial services, and legal practice verticals.</w:t>
      </w:r>
    </w:p>
    <w:p>
      <w:pPr>
        <w:pStyle w:val="BodyText"/>
      </w:pPr>
      <w:r>
        <w:rPr>
          <w:b/>
          <w:bCs/>
        </w:rPr>
        <w:t xml:space="preserve">Claim 8.</w:t>
      </w:r>
      <w:r>
        <w:t xml:space="preserve"> </w:t>
      </w:r>
      <w:r>
        <w:t xml:space="preserve">The system of Claim 1, providing author-facing rule visualization wherein the composed rule hierarchy (platform safety, platform operations, vertical baseline, workspace overlays, per-worker rules) is rendered visually for author review before submission.</w:t>
      </w:r>
    </w:p>
    <w:p>
      <w:pPr>
        <w:pStyle w:val="BodyText"/>
      </w:pPr>
      <w:r>
        <w:rPr>
          <w:b/>
          <w:bCs/>
        </w:rPr>
        <w:t xml:space="preserve">Claim 9.</w:t>
      </w:r>
      <w:r>
        <w:t xml:space="preserve"> </w:t>
      </w:r>
      <w:r>
        <w:t xml:space="preserve">A method for a non-engineer domain expert to author a deployable AI-powered software agent without writing code, the method comprising:</w:t>
      </w:r>
      <w:r>
        <w:t xml:space="preserve"> </w:t>
      </w:r>
      <w:r>
        <w:t xml:space="preserve">(a) initiating a conversational authoring session with the system of Claim 1;</w:t>
      </w:r>
      <w:r>
        <w:t xml:space="preserve"> </w:t>
      </w:r>
      <w:r>
        <w:t xml:space="preserve">(b) describing the agent’s intended purpose in natural language;</w:t>
      </w:r>
      <w:r>
        <w:t xml:space="preserve"> </w:t>
      </w:r>
      <w:r>
        <w:t xml:space="preserve">(c) answering structured follow-up questions about users, inputs, outputs, rules, prohibited actions, data sources, and pricing tier;</w:t>
      </w:r>
      <w:r>
        <w:t xml:space="preserve"> </w:t>
      </w:r>
      <w:r>
        <w:t xml:space="preserve">(d) reviewing the synthesized specification in a side-panel preview;</w:t>
      </w:r>
      <w:r>
        <w:t xml:space="preserve"> </w:t>
      </w:r>
      <w:r>
        <w:t xml:space="preserve">(e) selecting connectors and capabilities from a vertical-appropriate menu;</w:t>
      </w:r>
      <w:r>
        <w:t xml:space="preserve"> </w:t>
      </w:r>
      <w:r>
        <w:t xml:space="preserve">(f) confirming the composed rule set;</w:t>
      </w:r>
      <w:r>
        <w:t xml:space="preserve"> </w:t>
      </w:r>
      <w:r>
        <w:t xml:space="preserve">(g) submitting the specification to the governance pipeline;</w:t>
      </w:r>
      <w:r>
        <w:t xml:space="preserve"> </w:t>
      </w:r>
      <w:r>
        <w:t xml:space="preserve">(h) addressing any pipeline-stage feedback through additional conversation rounds; and</w:t>
      </w:r>
      <w:r>
        <w:t xml:space="preserve"> </w:t>
      </w:r>
      <w:r>
        <w:t xml:space="preserve">(i) upon admin review approval, having the worker published as invocable by other platform users.</w:t>
      </w:r>
    </w:p>
    <w:p>
      <w:pPr>
        <w:pStyle w:val="BodyText"/>
      </w:pPr>
      <w:r>
        <w:rPr>
          <w:b/>
          <w:bCs/>
        </w:rPr>
        <w:t xml:space="preserve">Claim 10.</w:t>
      </w:r>
      <w:r>
        <w:t xml:space="preserve"> </w:t>
      </w:r>
      <w:r>
        <w:t xml:space="preserve">The method of Claim 9, wherein the domain expert completes the entire authoring flow without interacting with code, configuration files, command-line interfaces, or other engineering tooling.</w:t>
      </w:r>
    </w:p>
    <w:p>
      <w:pPr>
        <w:pStyle w:val="BodyText"/>
      </w:pPr>
      <w:r>
        <w:rPr>
          <w:b/>
          <w:bCs/>
        </w:rPr>
        <w:t xml:space="preserve">Claim 11.</w:t>
      </w:r>
      <w:r>
        <w:t xml:space="preserve"> </w:t>
      </w:r>
      <w:r>
        <w:t xml:space="preserve">The system of Claim 1, wherein each successful authoring session contributes fixtures to a Knowledge Capture Pipeline that improves the conversational interface’s question patterns and specification synthesis for subsequent authoring sessions.</w:t>
      </w:r>
    </w:p>
    <w:p>
      <w:pPr>
        <w:pStyle w:val="BodyText"/>
      </w:pPr>
      <w:r>
        <w:rPr>
          <w:b/>
          <w:bCs/>
        </w:rPr>
        <w:t xml:space="preserve">Claim 12.</w:t>
      </w:r>
      <w:r>
        <w:t xml:space="preserve"> </w:t>
      </w:r>
      <w:r>
        <w:t xml:space="preserve">The system of Claim 1, applied to aviation wherein the conversational interface uses aviation-specific question patterns and pre-built templates for common worker types including pilot decision support, currency tracking, logbook intelligence, and dispatch workflow assistants.</w:t>
      </w:r>
    </w:p>
    <w:p>
      <w:pPr>
        <w:pStyle w:val="BodyText"/>
      </w:pPr>
      <w:r>
        <w:rPr>
          <w:b/>
          <w:bCs/>
        </w:rPr>
        <w:t xml:space="preserve">Claim 13.</w:t>
      </w:r>
      <w:r>
        <w:t xml:space="preserve"> </w:t>
      </w:r>
      <w:r>
        <w:t xml:space="preserve">The system of Claim 1, applied to healthcare wherein the conversational interface uses healthcare-specific question patterns and pre-built templates for protocol assistants, prior-authorization workflows, clinical decision support, and credential verification workers.</w:t>
      </w:r>
    </w:p>
    <w:p>
      <w:pPr>
        <w:pStyle w:val="BodyText"/>
      </w:pPr>
      <w:r>
        <w:rPr>
          <w:b/>
          <w:bCs/>
        </w:rPr>
        <w:t xml:space="preserve">Claim 14.</w:t>
      </w:r>
      <w:r>
        <w:t xml:space="preserve"> </w:t>
      </w:r>
      <w:r>
        <w:t xml:space="preserve">The system of Claim 1, applied to real estate wherein the conversational interface uses RE-specific question patterns and pre-built templates for comparative market analysis, title and escrow workflow, lease analysis, and property valuation workers.</w:t>
      </w:r>
    </w:p>
    <w:p>
      <w:pPr>
        <w:pStyle w:val="BodyText"/>
      </w:pPr>
      <w:r>
        <w:rPr>
          <w:b/>
          <w:bCs/>
        </w:rPr>
        <w:t xml:space="preserve">Claim 15.</w:t>
      </w:r>
      <w:r>
        <w:t xml:space="preserve"> </w:t>
      </w:r>
      <w:r>
        <w:t xml:space="preserve">The system of Claim 1, applied to financial services wherein the conversational interface uses finance-specific question patterns including blue-sky law jurisdiction awareness and FINRA conduct rule compilation.</w:t>
      </w:r>
    </w:p>
    <w:p>
      <w:r>
        <w:pict>
          <v:rect style="width:0;height:1.5pt" o:hralign="center" o:hrstd="t" o:hr="t"/>
        </w:pict>
      </w:r>
    </w:p>
    <w:bookmarkEnd w:id="72"/>
    <w:bookmarkStart w:id="73" w:name="abstract-2"/>
    <w:p>
      <w:pPr>
        <w:pStyle w:val="Heading2"/>
      </w:pPr>
      <w:r>
        <w:t xml:space="preserve">ABSTRACT</w:t>
      </w:r>
    </w:p>
    <w:p>
      <w:pPr>
        <w:pStyle w:val="FirstParagraph"/>
      </w:pPr>
      <w:r>
        <w:t xml:space="preserve">A Build-Without-Code Worker Authoring System for non-engineer domain experts, comprising a conversational authoring interface that asks structured questions about the proposed worker’s purpose, users, inputs, outputs, rules, prohibited actions, data sources, and pricing tier; a specification synthesis service producing structured worker specifications (never executable code); a cannot-harm-code property enforced architecturally through capability absence rather than policy filtering, ensuring the authoring conversation cannot modify platform code, mutate other tenants’ data, elevate user privileges, or execute arbitrary actions regardless of inputs; a multi-stage governance pipeline (intake → research → rules:save → prePublish → submit → admin review → approved) that the author cannot self-approve or bypass; and audit chain integration recording each pipeline transition. The System enables domain experts (clinicians, pilots, brokers, instructors, compliance officers, and similar professionals lacking engineering literacy) to author deployable AI workers through natural-language dialog. Vertical-specific question patterns and pre-built templates accelerate authoring across aviation, healthcare, real estate, automotive, government, education, financial services, and legal practice. Compounding effects through Knowledge Capture Pipeline integration: each successful authoring session improves the system’s question patterns and specification synthesis for subsequent sessions. The System extends prior art governance architecture (cited as foundation) by providing the specific user-experience pattern that makes deployable AI worker authoring accessible to the population of domain experts who hold the most valuable tacit knowledge but cannot code — closing the accessibility gap that has limited prior agent authoring platforms.</w:t>
      </w:r>
    </w:p>
    <w:p>
      <w:r>
        <w:pict>
          <v:rect style="width:0;height:1.5pt" o:hralign="center" o:hrstd="t" o:hr="t"/>
        </w:pict>
      </w:r>
    </w:p>
    <w:bookmarkEnd w:id="73"/>
    <w:bookmarkStart w:id="74" w:name="inventorship-and-assignment-notes-2"/>
    <w:p>
      <w:pPr>
        <w:pStyle w:val="Heading2"/>
      </w:pPr>
      <w:r>
        <w:t xml:space="preserve">INVENTORSHIP AND ASSIGNMENT NOTES</w:t>
      </w:r>
    </w:p>
    <w:p>
      <w:pPr>
        <w:pStyle w:val="FirstParagraph"/>
      </w:pPr>
      <w:r>
        <w:rPr>
          <w:b/>
          <w:bCs/>
        </w:rPr>
        <w:t xml:space="preserve">Named Inventor:</w:t>
      </w:r>
      <w:r>
        <w:t xml:space="preserve"> </w:t>
      </w:r>
      <w:r>
        <w:t xml:space="preserve">Sean Lee Combs, sole inventor.</w:t>
      </w:r>
    </w:p>
    <w:p>
      <w:pPr>
        <w:pStyle w:val="BodyText"/>
      </w:pPr>
      <w:r>
        <w:rPr>
          <w:b/>
          <w:bCs/>
        </w:rPr>
        <w:t xml:space="preserve">Applicant:</w:t>
      </w:r>
      <w:r>
        <w:t xml:space="preserve"> </w:t>
      </w:r>
      <w:r>
        <w:t xml:space="preserve">SOCIII Inc., a Delaware C-corporation.</w:t>
      </w:r>
    </w:p>
    <w:p>
      <w:pPr>
        <w:pStyle w:val="BodyText"/>
      </w:pPr>
      <w:r>
        <w:rPr>
          <w:b/>
          <w:bCs/>
        </w:rPr>
        <w:t xml:space="preserve">Strategic significance for fundraise:</w:t>
      </w:r>
      <w:r>
        <w:t xml:space="preserve"> </w:t>
      </w:r>
      <w:r>
        <w:t xml:space="preserve">This is the accessibility moat patent. The platform’s defensibility against ChatGPT, Claude Projects, GPT Builder, and similar competitors rests significantly on the question: who can actually USE these systems to produce deployable workers? The answer is: today, only software engineers. SOCIII’s Build-Without-Code pattern extends authoring access to the 99% of domain experts who hold the most valuable expertise but cannot code. Investors evaluating SOCIII’s TAM expansion potential should treat this filing as the IP that protects the broader-population go-to-market.</w:t>
      </w:r>
    </w:p>
    <w:p>
      <w:pPr>
        <w:pStyle w:val="BodyText"/>
      </w:pPr>
      <w:r>
        <w:rPr>
          <w:b/>
          <w:bCs/>
        </w:rPr>
        <w:t xml:space="preserve">Cross-filing relationship:</w:t>
      </w:r>
      <w:r>
        <w:t xml:space="preserve"> </w:t>
      </w:r>
      <w:r>
        <w:t xml:space="preserve">This filing is structurally related to Filing 2 (Knowledge Capture Pipeline) which includes the Terminal Worker safety architecture as one component of a broader pipeline. The present filing focuses specifically on the conversational authoring UX as a standalone claim — different claim scope, different protection, intended to issue as a separate patent.</w:t>
      </w:r>
    </w:p>
    <w:p>
      <w:pPr>
        <w:pStyle w:val="BodyText"/>
      </w:pPr>
      <w:r>
        <w:rPr>
          <w:b/>
          <w:bCs/>
        </w:rPr>
        <w:t xml:space="preserve">Prior public disclosure:</w:t>
      </w:r>
      <w:r>
        <w:t xml:space="preserve"> </w:t>
      </w:r>
      <w:r>
        <w:t xml:space="preserve">The Build-Without-Code pattern has been operationally present in the SOCIII platform’s Sandbox authoring surface since approximately Q4 2025. Limited public visibility through the platform’s marketing site and the marketplace listings of workers authored through it. Under 35 U.S.C. § 102(b)(1), the inventor’s grace period for prior public disclosures is presumed open for this filing pending counsel review.</w:t>
      </w:r>
    </w:p>
    <w:p>
      <w:r>
        <w:pict>
          <v:rect style="width:0;height:1.5pt" o:hralign="center" o:hrstd="t" o:hr="t"/>
        </w:pict>
      </w:r>
    </w:p>
    <w:p>
      <w:pPr>
        <w:pStyle w:val="FirstParagraph"/>
      </w:pPr>
      <w:r>
        <w:rPr>
          <w:i/>
          <w:iCs/>
        </w:rPr>
        <w:t xml:space="preserve">End of Filing D draft. Sean to review, refine claim language, and add formal drawings before USPTO submission.</w:t>
      </w:r>
    </w:p>
    <w:bookmarkEnd w:id="74"/>
    <w:bookmarkEnd w:id="75"/>
    <w:bookmarkStart w:id="76" w:name="filing-a-ai-escrow-locker-app-64073705"/>
    <w:p>
      <w:pPr>
        <w:pStyle w:val="Heading1"/>
      </w:pPr>
      <w:r>
        <w:t xml:space="preserve">Filing A — AI Escrow Locker (App # 64/073,705)</w:t>
      </w:r>
    </w:p>
    <w:bookmarkEnd w:id="76"/>
    <w:bookmarkStart w:id="93" w:name="X50b9b874653fb0568b0e03b4c2911838ae21bde"/>
    <w:p>
      <w:pPr>
        <w:pStyle w:val="Heading1"/>
      </w:pPr>
      <w:r>
        <w:t xml:space="preserve">Filing A — AI-Integrated Blockchain Escrow Locker System with Composed Worker Governance</w:t>
      </w:r>
    </w:p>
    <w:p>
      <w:pPr>
        <w:pStyle w:val="FirstParagraph"/>
      </w:pPr>
      <w:r>
        <w:rPr>
          <w:b/>
          <w:bCs/>
        </w:rPr>
        <w:t xml:space="preserve">Type:</w:t>
      </w:r>
      <w:r>
        <w:t xml:space="preserve"> </w:t>
      </w:r>
      <w:r>
        <w:t xml:space="preserve">Provisional Patent Application (35 U.S.C. § 111(b))</w:t>
      </w:r>
      <w:r>
        <w:t xml:space="preserve"> </w:t>
      </w:r>
      <w:r>
        <w:rPr>
          <w:b/>
          <w:bCs/>
        </w:rPr>
        <w:t xml:space="preserve">Filing target:</w:t>
      </w:r>
      <w:r>
        <w:t xml:space="preserve"> </w:t>
      </w:r>
      <w:r>
        <w:t xml:space="preserve">Sun 2026-05-24 via USPTO EFS-Web</w:t>
      </w:r>
      <w:r>
        <w:t xml:space="preserve"> </w:t>
      </w:r>
      <w:r>
        <w:rPr>
          <w:b/>
          <w:bCs/>
        </w:rPr>
        <w:t xml:space="preserve">Applicant:</w:t>
      </w:r>
      <w:r>
        <w:t xml:space="preserve"> </w:t>
      </w:r>
      <w:r>
        <w:t xml:space="preserve">SOCIII Inc. (Delaware C-corporation)</w:t>
      </w:r>
      <w:r>
        <w:t xml:space="preserve"> </w:t>
      </w:r>
      <w:r>
        <w:rPr>
          <w:b/>
          <w:bCs/>
        </w:rPr>
        <w:t xml:space="preserve">Named Inventor:</w:t>
      </w:r>
      <w:r>
        <w:t xml:space="preserve"> </w:t>
      </w:r>
      <w:r>
        <w:t xml:space="preserve">Sean Lee Combs</w:t>
      </w:r>
      <w:r>
        <w:t xml:space="preserve"> </w:t>
      </w:r>
      <w:r>
        <w:rPr>
          <w:b/>
          <w:bCs/>
        </w:rPr>
        <w:t xml:space="preserve">Small entity status:</w:t>
      </w:r>
      <w:r>
        <w:t xml:space="preserve"> </w:t>
      </w:r>
      <w:r>
        <w:t xml:space="preserve">Yes</w:t>
      </w:r>
      <w:r>
        <w:t xml:space="preserve"> </w:t>
      </w:r>
      <w:r>
        <w:rPr>
          <w:b/>
          <w:bCs/>
        </w:rPr>
        <w:t xml:space="preserve">Estimated filing fee:</w:t>
      </w:r>
      <w:r>
        <w:t xml:space="preserve"> </w:t>
      </w:r>
      <w:r>
        <w:t xml:space="preserve">$120</w:t>
      </w:r>
    </w:p>
    <w:p>
      <w:r>
        <w:pict>
          <v:rect style="width:0;height:1.5pt" o:hralign="center" o:hrstd="t" o:hr="t"/>
        </w:pict>
      </w:r>
    </w:p>
    <w:bookmarkStart w:id="77" w:name="title-of-invention-3"/>
    <w:p>
      <w:pPr>
        <w:pStyle w:val="Heading2"/>
      </w:pPr>
      <w:r>
        <w:t xml:space="preserve">TITLE OF INVENTION</w:t>
      </w:r>
    </w:p>
    <w:p>
      <w:pPr>
        <w:pStyle w:val="FirstParagraph"/>
      </w:pPr>
      <w:r>
        <w:rPr>
          <w:b/>
          <w:bCs/>
        </w:rPr>
        <w:t xml:space="preserve">AI-Integrated Blockchain Escrow Locker System with Composed Worker Governance, Multi-Tier Compliance Enforcement, and Identity-Anchored Audit Chain</w:t>
      </w:r>
    </w:p>
    <w:p>
      <w:r>
        <w:pict>
          <v:rect style="width:0;height:1.5pt" o:hralign="center" o:hrstd="t" o:hr="t"/>
        </w:pict>
      </w:r>
    </w:p>
    <w:bookmarkEnd w:id="77"/>
    <w:bookmarkStart w:id="78" w:name="field-of-the-invention-3"/>
    <w:p>
      <w:pPr>
        <w:pStyle w:val="Heading2"/>
      </w:pPr>
      <w:r>
        <w:t xml:space="preserve">FIELD OF THE INVENTION</w:t>
      </w:r>
    </w:p>
    <w:p>
      <w:pPr>
        <w:pStyle w:val="FirstParagraph"/>
      </w:pPr>
      <w:r>
        <w:t xml:space="preserve">The present invention relates to secure asset transaction systems, and more particularly to a blockchain-based escrow system that composes (a) parent-child digital title certificate architecture, (b) multi-tier rule-based artificial intelligence governance, (c) cryptographically-anchored audit trails, and (d) hosted identity-verification rails into an integrated system for fraud-resistant, regulatory-compliant, jurisdictionally-aware asset transactions across real estate, financial securities, transportation, intellectual property, government registries, and digital assets.</w:t>
      </w:r>
    </w:p>
    <w:p>
      <w:r>
        <w:pict>
          <v:rect style="width:0;height:1.5pt" o:hralign="center" o:hrstd="t" o:hr="t"/>
        </w:pict>
      </w:r>
    </w:p>
    <w:bookmarkEnd w:id="78"/>
    <w:bookmarkStart w:id="83" w:name="background-of-the-invention-3"/>
    <w:p>
      <w:pPr>
        <w:pStyle w:val="Heading2"/>
      </w:pPr>
      <w:r>
        <w:t xml:space="preserve">BACKGROUND OF THE INVENTION</w:t>
      </w:r>
    </w:p>
    <w:bookmarkStart w:id="79" w:name="continuous-invention-thread-3"/>
    <w:p>
      <w:pPr>
        <w:pStyle w:val="Heading3"/>
      </w:pPr>
      <w:r>
        <w:t xml:space="preserve">Continuous Invention Thread</w:t>
      </w:r>
    </w:p>
    <w:p>
      <w:pPr>
        <w:pStyle w:val="FirstParagraph"/>
      </w:pPr>
      <w:r>
        <w:t xml:space="preserve">This invention extends a continuous body of work in blockchain-anchored title assurance and parent-child digital identity architecture, including:</w:t>
      </w:r>
    </w:p>
    <w:p>
      <w:pPr>
        <w:numPr>
          <w:ilvl w:val="0"/>
          <w:numId w:val="1027"/>
        </w:numPr>
      </w:pPr>
      <w:r>
        <w:t xml:space="preserve">U.S. Patent Application No. 18/398,973 (Combs, filed December 28, 2023; abandoned in prosecution and published as prior art approximately June 28, 2025) which disclosed foundational parent-child Digital Title Certificate (DTC) architecture, multi-signature escrow mechanisms, and blockchain-anchored proof-of-existence for asset transactions; and</w:t>
      </w:r>
    </w:p>
    <w:p>
      <w:pPr>
        <w:numPr>
          <w:ilvl w:val="0"/>
          <w:numId w:val="1027"/>
        </w:numPr>
      </w:pPr>
      <w:r>
        <w:t xml:space="preserve">A December 2024 Blockchain Logbook System filing (Combs) which extended the parent-child architecture to dynamically-updatable logbook records and minted logbook entries as cryptographically-linked NFT children of a parent DTC, with package-transfer semantics ensuring the logbook follows the DTC across ownership changes.</w:t>
      </w:r>
    </w:p>
    <w:p>
      <w:pPr>
        <w:pStyle w:val="FirstParagraph"/>
      </w:pPr>
      <w:r>
        <w:t xml:space="preserve">The present invention composes these foundational architectures with a new system layer comprising AI-powered Digital Workers operating under governed rule sets, multi-tier compliance composition, hash-anchored audit chains, and hosted identity-verification rails to enable end-to-end automated, auditable, and jurisdictionally-compliant asset transactions in a manner not enabled by the prior art alone.</w:t>
      </w:r>
    </w:p>
    <w:bookmarkEnd w:id="79"/>
    <w:bookmarkStart w:id="80" w:name="X0ee16d089b6cac3ab1de4707e4e154f5996ce6d"/>
    <w:p>
      <w:pPr>
        <w:pStyle w:val="Heading3"/>
      </w:pPr>
      <w:r>
        <w:t xml:space="preserve">Cross-Filing Relationship to Co-Pending Applications</w:t>
      </w:r>
    </w:p>
    <w:p>
      <w:pPr>
        <w:pStyle w:val="FirstParagraph"/>
      </w:pPr>
      <w:r>
        <w:t xml:space="preserve">This application USES, but does not separately claim, several architectural components that are the subject of co-pending provisional patent applications filed by the same inventor and applicant on May 25, 2026 (collectively the</w:t>
      </w:r>
      <w:r>
        <w:t xml:space="preserve"> </w:t>
      </w:r>
      <w:r>
        <w:t xml:space="preserve">“May 25 Family”</w:t>
      </w:r>
      <w:r>
        <w:t xml:space="preserve">):</w:t>
      </w:r>
    </w:p>
    <w:p>
      <w:pPr>
        <w:pStyle w:val="Compact"/>
        <w:numPr>
          <w:ilvl w:val="0"/>
          <w:numId w:val="1028"/>
        </w:numPr>
      </w:pPr>
      <w:r>
        <w:t xml:space="preserve">The</w:t>
      </w:r>
      <w:r>
        <w:t xml:space="preserve"> </w:t>
      </w:r>
      <w:r>
        <w:rPr>
          <w:b/>
          <w:bCs/>
        </w:rPr>
        <w:t xml:space="preserve">identity-anchored hash-chain audit trail architecture</w:t>
      </w:r>
      <w:r>
        <w:t xml:space="preserve"> </w:t>
      </w:r>
      <w:r>
        <w:t xml:space="preserve">(hash-on-chain + payload-off-chain split, version-pinned rule-set provenance, chain-agnostic anchoring) is the subject of co-pending U.S. Provisional Patent Application No. 64/073,693;</w:t>
      </w:r>
    </w:p>
    <w:p>
      <w:pPr>
        <w:pStyle w:val="Compact"/>
        <w:numPr>
          <w:ilvl w:val="0"/>
          <w:numId w:val="1028"/>
        </w:numPr>
      </w:pPr>
      <w:r>
        <w:t xml:space="preserve">The</w:t>
      </w:r>
      <w:r>
        <w:t xml:space="preserve"> </w:t>
      </w:r>
      <w:r>
        <w:rPr>
          <w:b/>
          <w:bCs/>
        </w:rPr>
        <w:t xml:space="preserve">multi-tier composable rule architecture and Knowledge Capture Pipeline</w:t>
      </w:r>
      <w:r>
        <w:t xml:space="preserve"> </w:t>
      </w:r>
      <w:r>
        <w:t xml:space="preserve">(Tier 0 platform safety + Tier 1 platform operations + Tier 2 vertical baselines + Tier 3 workspace overlays + Tier 4 per-transaction rules; rule registry; rule extraction from conversations; worker fixture capture; Terminal Worker safety architecture) is the subject of co-pending U.S. Provisional Patent Application No. 64/073,693;</w:t>
      </w:r>
    </w:p>
    <w:p>
      <w:pPr>
        <w:pStyle w:val="Compact"/>
        <w:numPr>
          <w:ilvl w:val="0"/>
          <w:numId w:val="1028"/>
        </w:numPr>
      </w:pPr>
      <w:r>
        <w:t xml:space="preserve">The</w:t>
      </w:r>
      <w:r>
        <w:t xml:space="preserve"> </w:t>
      </w:r>
      <w:r>
        <w:rPr>
          <w:b/>
          <w:bCs/>
        </w:rPr>
        <w:t xml:space="preserve">build-without-code worker authoring user-experience pattern</w:t>
      </w:r>
      <w:r>
        <w:t xml:space="preserve"> </w:t>
      </w:r>
      <w:r>
        <w:t xml:space="preserve">(conversational AI-mediated specification generation by non-engineer domain experts, with three structural safety properties and a multi-stage governance pipeline) is the subject of co-pending U.S. Provisional Patent Application No. 64/073,693.</w:t>
      </w:r>
    </w:p>
    <w:p>
      <w:pPr>
        <w:pStyle w:val="FirstParagraph"/>
      </w:pPr>
      <w:r>
        <w:t xml:space="preserve">The present invention USES these architectures as building blocks. The novel composition of the present invention is the</w:t>
      </w:r>
      <w:r>
        <w:t xml:space="preserve"> </w:t>
      </w:r>
      <w:r>
        <w:rPr>
          <w:b/>
          <w:bCs/>
        </w:rPr>
        <w:t xml:space="preserve">AI-Integrated Blockchain Escrow Locker System</w:t>
      </w:r>
      <w:r>
        <w:t xml:space="preserve"> </w:t>
      </w:r>
      <w:r>
        <w:t xml:space="preserve">— specifically, the application of AI-powered Digital Workers and multi-tier compliance to the escrow lifecycle (initiation, identity verification, document analysis, contract review, notarization, fraud detection, smart-contract execution, dispute resolution). Claim differentiation across the patent family will be coordinated at nonprovisional conversion time.</w:t>
      </w:r>
    </w:p>
    <w:bookmarkEnd w:id="80"/>
    <w:bookmarkStart w:id="81" w:name="problems-in-existing-systems"/>
    <w:p>
      <w:pPr>
        <w:pStyle w:val="Heading3"/>
      </w:pPr>
      <w:r>
        <w:t xml:space="preserve">Problems in Existing Systems</w:t>
      </w:r>
    </w:p>
    <w:p>
      <w:pPr>
        <w:pStyle w:val="FirstParagraph"/>
      </w:pPr>
      <w:r>
        <w:t xml:space="preserve">Conventional escrow systems suffer from several persistent failure modes:</w:t>
      </w:r>
    </w:p>
    <w:p>
      <w:pPr>
        <w:numPr>
          <w:ilvl w:val="0"/>
          <w:numId w:val="1029"/>
        </w:numPr>
      </w:pPr>
      <w:r>
        <w:rPr>
          <w:b/>
          <w:bCs/>
        </w:rPr>
        <w:t xml:space="preserve">Manual compliance verification.</w:t>
      </w:r>
      <w:r>
        <w:t xml:space="preserve"> </w:t>
      </w:r>
      <w:r>
        <w:t xml:space="preserve">Traditional escrow agents rely on human review of identity documents, source-of-funds documentation, and contractual obligations, introducing delay, inconsistency, and human-error risk.</w:t>
      </w:r>
    </w:p>
    <w:p>
      <w:pPr>
        <w:numPr>
          <w:ilvl w:val="0"/>
          <w:numId w:val="1029"/>
        </w:numPr>
      </w:pPr>
      <w:r>
        <w:rPr>
          <w:b/>
          <w:bCs/>
        </w:rPr>
        <w:t xml:space="preserve">Centralized record custody.</w:t>
      </w:r>
      <w:r>
        <w:t xml:space="preserve"> </w:t>
      </w:r>
      <w:r>
        <w:t xml:space="preserve">Records of escrow conditions, ownership transfers, and compliance attestations are held by individual escrow agents or title companies, creating single points of failure, opacity to non-party regulators, and vulnerability to fraud or record loss.</w:t>
      </w:r>
    </w:p>
    <w:p>
      <w:pPr>
        <w:numPr>
          <w:ilvl w:val="0"/>
          <w:numId w:val="1029"/>
        </w:numPr>
      </w:pPr>
      <w:r>
        <w:rPr>
          <w:b/>
          <w:bCs/>
        </w:rPr>
        <w:t xml:space="preserve">Jurisdictional fragmentation.</w:t>
      </w:r>
      <w:r>
        <w:t xml:space="preserve"> </w:t>
      </w:r>
      <w:r>
        <w:t xml:space="preserve">Cross-jurisdictional transactions require navigating differing notarization requirements, identity verification standards, and reporting obligations, with no unified system to enforce per-jurisdiction rules automatically.</w:t>
      </w:r>
    </w:p>
    <w:p>
      <w:pPr>
        <w:numPr>
          <w:ilvl w:val="0"/>
          <w:numId w:val="1029"/>
        </w:numPr>
      </w:pPr>
      <w:r>
        <w:rPr>
          <w:b/>
          <w:bCs/>
        </w:rPr>
        <w:t xml:space="preserve">Dispute resolution opacity.</w:t>
      </w:r>
      <w:r>
        <w:t xml:space="preserve"> </w:t>
      </w:r>
      <w:r>
        <w:t xml:space="preserve">When disputes arise over title authenticity, identity of parties, or interpretation of escrow conditions, resolution requires costly litigation or arbitration with limited access to the underlying transaction record.</w:t>
      </w:r>
    </w:p>
    <w:p>
      <w:pPr>
        <w:numPr>
          <w:ilvl w:val="0"/>
          <w:numId w:val="1029"/>
        </w:numPr>
      </w:pPr>
      <w:r>
        <w:rPr>
          <w:b/>
          <w:bCs/>
        </w:rPr>
        <w:t xml:space="preserve">Lack of composable governance.</w:t>
      </w:r>
      <w:r>
        <w:t xml:space="preserve"> </w:t>
      </w:r>
      <w:r>
        <w:t xml:space="preserve">Existing blockchain escrow systems either hardcode compliance rules at the smart-contract level (limiting flexibility) or omit compliance entirely (limiting institutional adoption). No prior system provides a multi-tier composable rule architecture allowing platform-level, vertical-level, and per-transaction-level governance to layer additively.</w:t>
      </w:r>
    </w:p>
    <w:p>
      <w:pPr>
        <w:numPr>
          <w:ilvl w:val="0"/>
          <w:numId w:val="1029"/>
        </w:numPr>
      </w:pPr>
      <w:r>
        <w:rPr>
          <w:b/>
          <w:bCs/>
        </w:rPr>
        <w:t xml:space="preserve">Disconnection between identity and ownership.</w:t>
      </w:r>
      <w:r>
        <w:t xml:space="preserve"> </w:t>
      </w:r>
      <w:r>
        <w:t xml:space="preserve">Identity verification systems (KYC/AML) and ownership-record systems (deeds, titles, registries) operate in separate silos, requiring duplicated verification effort and creating attack surfaces where a verified identity is decoupled from the asset record they are attempting to transact upon.</w:t>
      </w:r>
    </w:p>
    <w:bookmarkEnd w:id="81"/>
    <w:bookmarkStart w:id="82" w:name="prior-art-limitations-3"/>
    <w:p>
      <w:pPr>
        <w:pStyle w:val="Heading3"/>
      </w:pPr>
      <w:r>
        <w:t xml:space="preserve">Prior Art Limitations</w:t>
      </w:r>
    </w:p>
    <w:p>
      <w:pPr>
        <w:pStyle w:val="FirstParagraph"/>
      </w:pPr>
      <w:r>
        <w:t xml:space="preserve">While the cited prior art (18/398,973 and the December 2024 logbook filing) establishes the foundational parent-child DTC + logbook architecture and multi-signature smart-contract escrow primitives, those disclosures do not enable:</w:t>
      </w:r>
    </w:p>
    <w:p>
      <w:pPr>
        <w:pStyle w:val="Compact"/>
        <w:numPr>
          <w:ilvl w:val="0"/>
          <w:numId w:val="1030"/>
        </w:numPr>
      </w:pPr>
      <w:r>
        <w:t xml:space="preserve">AI-driven document analysis, contract interpretation, or compliance flagging integrated as governed Digital Workers operating within enforced rule sets;</w:t>
      </w:r>
    </w:p>
    <w:p>
      <w:pPr>
        <w:pStyle w:val="Compact"/>
        <w:numPr>
          <w:ilvl w:val="0"/>
          <w:numId w:val="1030"/>
        </w:numPr>
      </w:pPr>
      <w:r>
        <w:t xml:space="preserve">Multi-tier composable compliance rules combining platform-wide invariants, vertical-specific regulations, and per-tenant or per-transaction overrides;</w:t>
      </w:r>
    </w:p>
    <w:p>
      <w:pPr>
        <w:pStyle w:val="Compact"/>
        <w:numPr>
          <w:ilvl w:val="0"/>
          <w:numId w:val="1030"/>
        </w:numPr>
      </w:pPr>
      <w:r>
        <w:t xml:space="preserve">Hash-anchored audit chains tying every governance decision to a chain-agnostic immutable proof-of-existence with pinned rule-set versions;</w:t>
      </w:r>
    </w:p>
    <w:p>
      <w:pPr>
        <w:pStyle w:val="Compact"/>
        <w:numPr>
          <w:ilvl w:val="0"/>
          <w:numId w:val="1030"/>
        </w:numPr>
      </w:pPr>
      <w:r>
        <w:t xml:space="preserve">Hosted identity-verification rails that integrate with the escrow logic so that an identity attestation, once issued, persists as an unforgeable input to subsequent transactions; and</w:t>
      </w:r>
    </w:p>
    <w:p>
      <w:pPr>
        <w:pStyle w:val="Compact"/>
        <w:numPr>
          <w:ilvl w:val="0"/>
          <w:numId w:val="1030"/>
        </w:numPr>
      </w:pPr>
      <w:r>
        <w:t xml:space="preserve">Pre-publish constraint check services that evaluate proposed transactions against current regulatory rule sets before the escrow contract executes.</w:t>
      </w:r>
    </w:p>
    <w:p>
      <w:pPr>
        <w:pStyle w:val="FirstParagraph"/>
      </w:pPr>
      <w:r>
        <w:t xml:space="preserve">The present invention provides these capabilities through novel system composition.</w:t>
      </w:r>
    </w:p>
    <w:p>
      <w:r>
        <w:pict>
          <v:rect style="width:0;height:1.5pt" o:hralign="center" o:hrstd="t" o:hr="t"/>
        </w:pict>
      </w:r>
    </w:p>
    <w:bookmarkEnd w:id="82"/>
    <w:bookmarkEnd w:id="83"/>
    <w:bookmarkStart w:id="84" w:name="summary-of-the-invention-3"/>
    <w:p>
      <w:pPr>
        <w:pStyle w:val="Heading2"/>
      </w:pPr>
      <w:r>
        <w:t xml:space="preserve">SUMMARY OF THE INVENTION</w:t>
      </w:r>
    </w:p>
    <w:p>
      <w:pPr>
        <w:pStyle w:val="FirstParagraph"/>
      </w:pPr>
      <w:r>
        <w:t xml:space="preserve">The present invention provides an AI-Integrated Blockchain Escrow Locker System (the</w:t>
      </w:r>
      <w:r>
        <w:t xml:space="preserve"> </w:t>
      </w:r>
      <w:r>
        <w:t xml:space="preserve">“System”</w:t>
      </w:r>
      <w:r>
        <w:t xml:space="preserve">) comprising:</w:t>
      </w:r>
    </w:p>
    <w:p>
      <w:pPr>
        <w:numPr>
          <w:ilvl w:val="0"/>
          <w:numId w:val="1031"/>
        </w:numPr>
      </w:pPr>
      <w:r>
        <w:rPr>
          <w:b/>
          <w:bCs/>
        </w:rPr>
        <w:t xml:space="preserve">A parent-child Digital Title Certificate (DTC) record structure</w:t>
      </w:r>
      <w:r>
        <w:t xml:space="preserve">, wherein each escrow transaction references one or more parent DTCs representing the assets in escrow, and each governance event during the escrow lifecycle generates a child logbook entry cryptographically bound to the parent, with the parent-and-children transferable as a package upon escrow execution.</w:t>
      </w:r>
    </w:p>
    <w:p>
      <w:pPr>
        <w:numPr>
          <w:ilvl w:val="0"/>
          <w:numId w:val="1031"/>
        </w:numPr>
      </w:pPr>
      <w:r>
        <w:rPr>
          <w:b/>
          <w:bCs/>
        </w:rPr>
        <w:t xml:space="preserve">A multi-tier composable rule set (</w:t>
      </w:r>
      <w:r>
        <w:rPr>
          <w:b/>
          <w:bCs/>
        </w:rPr>
        <w:t xml:space="preserve">“RAAS”</w:t>
      </w:r>
      <w:r>
        <w:rPr>
          <w:b/>
          <w:bCs/>
        </w:rPr>
        <w:t xml:space="preserve"> </w:t>
      </w:r>
      <w:r>
        <w:rPr>
          <w:b/>
          <w:bCs/>
        </w:rPr>
        <w:t xml:space="preserve">— Rules and AI-as-a-Service)</w:t>
      </w:r>
      <w:r>
        <w:t xml:space="preserve">, wherein platform-level safety rules, vertical-level regulatory rules (e.g., real estate, securities, healthcare), and per-transaction custom rules layer additively, with conflict resolution prioritizing the most-restrictive rule, and with rule-set versions pinned to each governance event for retrospective audit.</w:t>
      </w:r>
    </w:p>
    <w:p>
      <w:pPr>
        <w:numPr>
          <w:ilvl w:val="0"/>
          <w:numId w:val="1031"/>
        </w:numPr>
      </w:pPr>
      <w:r>
        <w:rPr>
          <w:b/>
          <w:bCs/>
        </w:rPr>
        <w:t xml:space="preserve">One or more AI-powered Digital Workers</w:t>
      </w:r>
      <w:r>
        <w:t xml:space="preserve"> </w:t>
      </w:r>
      <w:r>
        <w:t xml:space="preserve">operating within the rule set, each Digital Worker assigned to a specific phase of the escrow lifecycle (e.g., identity verification, document analysis, contract review, fraud detection, dispute resolution), with worker outputs constrained by the rule set and persisted as child logbook entries.</w:t>
      </w:r>
    </w:p>
    <w:p>
      <w:pPr>
        <w:numPr>
          <w:ilvl w:val="0"/>
          <w:numId w:val="1031"/>
        </w:numPr>
      </w:pPr>
      <w:r>
        <w:rPr>
          <w:b/>
          <w:bCs/>
        </w:rPr>
        <w:t xml:space="preserve">A hosted identity-verification rail</w:t>
      </w:r>
      <w:r>
        <w:t xml:space="preserve"> </w:t>
      </w:r>
      <w:r>
        <w:t xml:space="preserve">integrated with the escrow logic, wherein an identity attestation issued by the rail (e.g., through a third-party KYC/AML provider such as Stripe Identity, Coinbase, or similar) is cryptographically bound to the user’s platform identity and persists as an unforgeable input to subsequent transactions.</w:t>
      </w:r>
    </w:p>
    <w:p>
      <w:pPr>
        <w:numPr>
          <w:ilvl w:val="0"/>
          <w:numId w:val="1031"/>
        </w:numPr>
      </w:pPr>
      <w:r>
        <w:rPr>
          <w:b/>
          <w:bCs/>
        </w:rPr>
        <w:t xml:space="preserve">A hash-anchored audit chain</w:t>
      </w:r>
      <w:r>
        <w:t xml:space="preserve">, wherein each governance event (worker output, rule evaluation, escrow state transition) generates a cryptographic hash of the event payload, signed by the platform, anchored to a public blockchain (chain-agnostic; embodiments include Base, Ethereum, Polygon, Solana, Avalanche), with the on-chain hash providing tamper-evidence without exposing the underlying transaction data.</w:t>
      </w:r>
    </w:p>
    <w:p>
      <w:pPr>
        <w:numPr>
          <w:ilvl w:val="0"/>
          <w:numId w:val="1031"/>
        </w:numPr>
      </w:pPr>
      <w:r>
        <w:rPr>
          <w:b/>
          <w:bCs/>
        </w:rPr>
        <w:t xml:space="preserve">A pre-publish constraint check service</w:t>
      </w:r>
      <w:r>
        <w:t xml:space="preserve">, wherein proposed transactions are evaluated against the current rule set version before the escrow smart contract executes, with violations either blocking execution or routing to a human review queue depending on rule severity.</w:t>
      </w:r>
    </w:p>
    <w:p>
      <w:pPr>
        <w:numPr>
          <w:ilvl w:val="0"/>
          <w:numId w:val="1031"/>
        </w:numPr>
      </w:pPr>
      <w:r>
        <w:rPr>
          <w:b/>
          <w:bCs/>
        </w:rPr>
        <w:t xml:space="preserve">A multi-signature smart contract escrow wallet</w:t>
      </w:r>
      <w:r>
        <w:t xml:space="preserve">, wherein release of funds, assets, or DTCs requires cryptographic approval from a configurable set of signers (buyer, seller, AI validator, jurisdictional notary, regulator) per the escrow conditions encoded in the smart contract.</w:t>
      </w:r>
    </w:p>
    <w:p>
      <w:pPr>
        <w:numPr>
          <w:ilvl w:val="0"/>
          <w:numId w:val="1031"/>
        </w:numPr>
      </w:pPr>
      <w:r>
        <w:rPr>
          <w:b/>
          <w:bCs/>
        </w:rPr>
        <w:t xml:space="preserve">An automated dispute resolution module</w:t>
      </w:r>
      <w:r>
        <w:t xml:space="preserve"> </w:t>
      </w:r>
      <w:r>
        <w:t xml:space="preserve">powered by one or more Digital Workers, wherein transaction history, ownership lineage, rule-set state at time of dispute, and applicable legal precedents are analyzed to produce a recommended resolution, with the recommendation persisted to the audit chain as a child logbook entry.</w:t>
      </w:r>
    </w:p>
    <w:p>
      <w:pPr>
        <w:pStyle w:val="FirstParagraph"/>
      </w:pPr>
      <w:r>
        <w:t xml:space="preserve">The System provides:</w:t>
      </w:r>
    </w:p>
    <w:p>
      <w:pPr>
        <w:pStyle w:val="Compact"/>
        <w:numPr>
          <w:ilvl w:val="0"/>
          <w:numId w:val="1032"/>
        </w:numPr>
      </w:pPr>
      <w:r>
        <w:rPr>
          <w:b/>
          <w:bCs/>
        </w:rPr>
        <w:t xml:space="preserve">Cross-industry applicability</w:t>
      </w:r>
      <w:r>
        <w:t xml:space="preserve"> </w:t>
      </w:r>
      <w:r>
        <w:t xml:space="preserve">across real estate, automotive, securities, intellectual property, healthcare, government registries, supply chain, and digital assets;</w:t>
      </w:r>
    </w:p>
    <w:p>
      <w:pPr>
        <w:pStyle w:val="Compact"/>
        <w:numPr>
          <w:ilvl w:val="0"/>
          <w:numId w:val="1032"/>
        </w:numPr>
      </w:pPr>
      <w:r>
        <w:rPr>
          <w:b/>
          <w:bCs/>
        </w:rPr>
        <w:t xml:space="preserve">Chain-agnostic operation</w:t>
      </w:r>
      <w:r>
        <w:t xml:space="preserve"> </w:t>
      </w:r>
      <w:r>
        <w:t xml:space="preserve">allowing the audit anchor to relocate across blockchains as ecosystems evolve;</w:t>
      </w:r>
    </w:p>
    <w:p>
      <w:pPr>
        <w:pStyle w:val="Compact"/>
        <w:numPr>
          <w:ilvl w:val="0"/>
          <w:numId w:val="1032"/>
        </w:numPr>
      </w:pPr>
      <w:r>
        <w:rPr>
          <w:b/>
          <w:bCs/>
        </w:rPr>
        <w:t xml:space="preserve">Composable governance</w:t>
      </w:r>
      <w:r>
        <w:t xml:space="preserve"> </w:t>
      </w:r>
      <w:r>
        <w:t xml:space="preserve">allowing platform-wide rules, regulator-defined vertical rules, and per-tenant custom rules to layer additively without code changes;</w:t>
      </w:r>
    </w:p>
    <w:p>
      <w:pPr>
        <w:pStyle w:val="Compact"/>
        <w:numPr>
          <w:ilvl w:val="0"/>
          <w:numId w:val="1032"/>
        </w:numPr>
      </w:pPr>
      <w:r>
        <w:rPr>
          <w:b/>
          <w:bCs/>
        </w:rPr>
        <w:t xml:space="preserve">Defensive auditability</w:t>
      </w:r>
      <w:r>
        <w:t xml:space="preserve"> </w:t>
      </w:r>
      <w:r>
        <w:t xml:space="preserve">wherein every governance decision is reconstructible from the hash-anchored audit chain plus the pinned rule-set version, enabling post-hoc verification by regulators, courts, or counterparties.</w:t>
      </w:r>
    </w:p>
    <w:p>
      <w:r>
        <w:pict>
          <v:rect style="width:0;height:1.5pt" o:hralign="center" o:hrstd="t" o:hr="t"/>
        </w:pict>
      </w:r>
    </w:p>
    <w:bookmarkEnd w:id="84"/>
    <w:bookmarkStart w:id="88" w:name="detailed-description-of-embodiments-3"/>
    <w:p>
      <w:pPr>
        <w:pStyle w:val="Heading2"/>
      </w:pPr>
      <w:r>
        <w:t xml:space="preserve">DETAILED DESCRIPTION OF EMBODIMENTS</w:t>
      </w:r>
    </w:p>
    <w:bookmarkStart w:id="85" w:name="system-architecture-overview"/>
    <w:p>
      <w:pPr>
        <w:pStyle w:val="Heading3"/>
      </w:pPr>
      <w:r>
        <w:t xml:space="preserve">System Architecture Overview</w:t>
      </w:r>
    </w:p>
    <w:p>
      <w:pPr>
        <w:pStyle w:val="FirstParagraph"/>
      </w:pPr>
      <w:r>
        <w:t xml:space="preserve">The System comprises a distributed architecture with the following principal components:</w:t>
      </w:r>
    </w:p>
    <w:p>
      <w:pPr>
        <w:pStyle w:val="BodyText"/>
      </w:pPr>
      <w:r>
        <w:rPr>
          <w:b/>
          <w:bCs/>
        </w:rPr>
        <w:t xml:space="preserve">1. The Escrow Smart Contract Layer.</w:t>
      </w:r>
      <w:r>
        <w:t xml:space="preserve"> </w:t>
      </w:r>
      <w:r>
        <w:t xml:space="preserve">A multi-signature smart contract deployed to a target blockchain (Base in the preferred embodiment, with chain-agnostic adapters supporting Ethereum, Polygon, Solana, Avalanche, and others) that holds funds, fungible tokens, non-fungible tokens, or references to off-chain assets in escrow. The smart contract is parameterized at deployment with:</w:t>
      </w:r>
      <w:r>
        <w:t xml:space="preserve"> </w:t>
      </w:r>
      <w:r>
        <w:t xml:space="preserve">- The participating parties’ blockchain addresses;</w:t>
      </w:r>
      <w:r>
        <w:t xml:space="preserve"> </w:t>
      </w:r>
      <w:r>
        <w:t xml:space="preserve">- The release conditions expressed as logical predicates over governance events;</w:t>
      </w:r>
      <w:r>
        <w:t xml:space="preserve"> </w:t>
      </w:r>
      <w:r>
        <w:t xml:space="preserve">- The set of authorized signers and their approval weights;</w:t>
      </w:r>
      <w:r>
        <w:t xml:space="preserve"> </w:t>
      </w:r>
      <w:r>
        <w:t xml:space="preserve">- References to one or more parent DTCs representing the assets in escrow;</w:t>
      </w:r>
      <w:r>
        <w:t xml:space="preserve"> </w:t>
      </w:r>
      <w:r>
        <w:t xml:space="preserve">- A reference to the pinned rule-set version under which the escrow operates.</w:t>
      </w:r>
    </w:p>
    <w:p>
      <w:pPr>
        <w:pStyle w:val="BodyText"/>
      </w:pPr>
      <w:r>
        <w:rPr>
          <w:b/>
          <w:bCs/>
        </w:rPr>
        <w:t xml:space="preserve">2. The Digital Worker Layer.</w:t>
      </w:r>
      <w:r>
        <w:t xml:space="preserve"> </w:t>
      </w:r>
      <w:r>
        <w:t xml:space="preserve">A collection of AI-powered services, each implementing a specific governance function:</w:t>
      </w:r>
      <w:r>
        <w:t xml:space="preserve"> </w:t>
      </w:r>
      <w:r>
        <w:t xml:space="preserve">-</w:t>
      </w:r>
      <w:r>
        <w:t xml:space="preserve"> </w:t>
      </w:r>
      <w:r>
        <w:rPr>
          <w:i/>
          <w:iCs/>
        </w:rPr>
        <w:t xml:space="preserve">Identity Verification Worker:</w:t>
      </w:r>
      <w:r>
        <w:t xml:space="preserve"> </w:t>
      </w:r>
      <w:r>
        <w:t xml:space="preserve">Validates KYC/AML attestations against the hosted identity rail, government registries, sanctions lists, and biometric records where applicable. Produces a signed attestation written as a child logbook entry.</w:t>
      </w:r>
      <w:r>
        <w:t xml:space="preserve"> </w:t>
      </w:r>
      <w:r>
        <w:t xml:space="preserve">-</w:t>
      </w:r>
      <w:r>
        <w:t xml:space="preserve"> </w:t>
      </w:r>
      <w:r>
        <w:rPr>
          <w:i/>
          <w:iCs/>
        </w:rPr>
        <w:t xml:space="preserve">Document Analysis Worker:</w:t>
      </w:r>
      <w:r>
        <w:t xml:space="preserve"> </w:t>
      </w:r>
      <w:r>
        <w:t xml:space="preserve">Ingests escrow-related documents (purchase agreements, title reports, regulatory filings) and extracts structured terms, identifies inconsistencies, and flags missing compliance elements. Output is a structured terms summary persisted to the logbook.</w:t>
      </w:r>
      <w:r>
        <w:t xml:space="preserve"> </w:t>
      </w:r>
      <w:r>
        <w:t xml:space="preserve">-</w:t>
      </w:r>
      <w:r>
        <w:t xml:space="preserve"> </w:t>
      </w:r>
      <w:r>
        <w:rPr>
          <w:i/>
          <w:iCs/>
        </w:rPr>
        <w:t xml:space="preserve">Contract Review Worker:</w:t>
      </w:r>
      <w:r>
        <w:t xml:space="preserve"> </w:t>
      </w:r>
      <w:r>
        <w:t xml:space="preserve">Evaluates proposed escrow conditions against the rule set, flagging clauses that violate platform invariants, vertical regulations, or jurisdictional notarization requirements.</w:t>
      </w:r>
      <w:r>
        <w:t xml:space="preserve"> </w:t>
      </w:r>
      <w:r>
        <w:t xml:space="preserve">-</w:t>
      </w:r>
      <w:r>
        <w:t xml:space="preserve"> </w:t>
      </w:r>
      <w:r>
        <w:rPr>
          <w:i/>
          <w:iCs/>
        </w:rPr>
        <w:t xml:space="preserve">Fraud Detection Worker:</w:t>
      </w:r>
      <w:r>
        <w:t xml:space="preserve"> </w:t>
      </w:r>
      <w:r>
        <w:t xml:space="preserve">Monitors transaction patterns, parent-DTC history, and counterparty graph for anomalies indicative of fraud (e.g., title-flipping schemes, identity reuse, sanctions evasion).</w:t>
      </w:r>
      <w:r>
        <w:t xml:space="preserve"> </w:t>
      </w:r>
      <w:r>
        <w:t xml:space="preserve">-</w:t>
      </w:r>
      <w:r>
        <w:t xml:space="preserve"> </w:t>
      </w:r>
      <w:r>
        <w:rPr>
          <w:i/>
          <w:iCs/>
        </w:rPr>
        <w:t xml:space="preserve">Notary Worker:</w:t>
      </w:r>
      <w:r>
        <w:t xml:space="preserve"> </w:t>
      </w:r>
      <w:r>
        <w:t xml:space="preserve">For jurisdictions requiring notarization, routes the transaction through a certified digital notary service and persists the notarial attestation as a child logbook entry.</w:t>
      </w:r>
      <w:r>
        <w:t xml:space="preserve"> </w:t>
      </w:r>
      <w:r>
        <w:t xml:space="preserve">-</w:t>
      </w:r>
      <w:r>
        <w:t xml:space="preserve"> </w:t>
      </w:r>
      <w:r>
        <w:rPr>
          <w:i/>
          <w:iCs/>
        </w:rPr>
        <w:t xml:space="preserve">Dispute Resolution Worker:</w:t>
      </w:r>
      <w:r>
        <w:t xml:space="preserve"> </w:t>
      </w:r>
      <w:r>
        <w:t xml:space="preserve">Activated upon dispute filing; analyzes the full transaction history and recommends resolution based on rule-set state at time of dispute and applicable legal precedents.</w:t>
      </w:r>
    </w:p>
    <w:p>
      <w:pPr>
        <w:pStyle w:val="BodyText"/>
      </w:pPr>
      <w:r>
        <w:t xml:space="preserve">Each Digital Worker operates strictly within the bounds of its assigned RAAS rule set; outputs that would violate platform safety rules, vertical regulations, or jurisdictional constraints are blocked at the worker layer before reaching the escrow contract.</w:t>
      </w:r>
    </w:p>
    <w:p>
      <w:pPr>
        <w:pStyle w:val="BodyText"/>
      </w:pPr>
      <w:r>
        <w:rPr>
          <w:b/>
          <w:bCs/>
        </w:rPr>
        <w:t xml:space="preserve">3. The RAAS Rule Composition Layer.</w:t>
      </w:r>
      <w:r>
        <w:t xml:space="preserve"> </w:t>
      </w:r>
      <w:r>
        <w:t xml:space="preserve">A multi-tier rule architecture comprising:</w:t>
      </w:r>
      <w:r>
        <w:t xml:space="preserve"> </w:t>
      </w:r>
      <w:r>
        <w:t xml:space="preserve">-</w:t>
      </w:r>
      <w:r>
        <w:t xml:space="preserve"> </w:t>
      </w:r>
      <w:r>
        <w:rPr>
          <w:i/>
          <w:iCs/>
        </w:rPr>
        <w:t xml:space="preserve">Tier 0 — Platform Safety:</w:t>
      </w:r>
      <w:r>
        <w:t xml:space="preserve"> </w:t>
      </w:r>
      <w:r>
        <w:t xml:space="preserve">Immutable platform-wide invariants (e.g.,</w:t>
      </w:r>
      <w:r>
        <w:t xml:space="preserve"> </w:t>
      </w:r>
      <w:r>
        <w:t xml:space="preserve">“no Digital Worker may impersonate a licensed professional,”</w:t>
      </w:r>
      <w:r>
        <w:t xml:space="preserve"> </w:t>
      </w:r>
      <w:r>
        <w:t xml:space="preserve">“all worker outputs carry AI-generated disclosure,”</w:t>
      </w:r>
      <w:r>
        <w:t xml:space="preserve"> </w:t>
      </w:r>
      <w:r>
        <w:t xml:space="preserve">“append-only audit trail,”</w:t>
      </w:r>
      <w:r>
        <w:t xml:space="preserve"> </w:t>
      </w:r>
      <w:r>
        <w:t xml:space="preserve">“no PII exposure in chat surfaces”</w:t>
      </w:r>
      <w:r>
        <w:t xml:space="preserve">).</w:t>
      </w:r>
      <w:r>
        <w:t xml:space="preserve"> </w:t>
      </w:r>
      <w:r>
        <w:t xml:space="preserve">-</w:t>
      </w:r>
      <w:r>
        <w:t xml:space="preserve"> </w:t>
      </w:r>
      <w:r>
        <w:rPr>
          <w:i/>
          <w:iCs/>
        </w:rPr>
        <w:t xml:space="preserve">Tier 1 — Platform Operations:</w:t>
      </w:r>
      <w:r>
        <w:t xml:space="preserve"> </w:t>
      </w:r>
      <w:r>
        <w:t xml:space="preserve">Platform-wide operational rules (e.g., subscription enforcement, capability gating, role enforcement).</w:t>
      </w:r>
      <w:r>
        <w:t xml:space="preserve"> </w:t>
      </w:r>
      <w:r>
        <w:t xml:space="preserve">-</w:t>
      </w:r>
      <w:r>
        <w:t xml:space="preserve"> </w:t>
      </w:r>
      <w:r>
        <w:rPr>
          <w:i/>
          <w:iCs/>
        </w:rPr>
        <w:t xml:space="preserve">Tier 2 — Vertical Baselines:</w:t>
      </w:r>
      <w:r>
        <w:t xml:space="preserve"> </w:t>
      </w:r>
      <w:r>
        <w:t xml:space="preserve">Per-vertical regulatory rule sets (e.g., real estate title transfer rules per jurisdiction, securities compliance for tokenized assets, healthcare HIPAA constraints for medical-record escrows).</w:t>
      </w:r>
      <w:r>
        <w:t xml:space="preserve"> </w:t>
      </w:r>
      <w:r>
        <w:t xml:space="preserve">-</w:t>
      </w:r>
      <w:r>
        <w:t xml:space="preserve"> </w:t>
      </w:r>
      <w:r>
        <w:rPr>
          <w:i/>
          <w:iCs/>
        </w:rPr>
        <w:t xml:space="preserve">Tier 3 — Per-Transaction Customization:</w:t>
      </w:r>
      <w:r>
        <w:t xml:space="preserve"> </w:t>
      </w:r>
      <w:r>
        <w:t xml:space="preserve">Escrow-specific rules layered onto the above tiers (e.g., specific signer approval thresholds, jurisdictional notarization, custom release conditions).</w:t>
      </w:r>
    </w:p>
    <w:p>
      <w:pPr>
        <w:pStyle w:val="BodyText"/>
      </w:pPr>
      <w:r>
        <w:t xml:space="preserve">Conflict resolution between tiers prioritizes the most-restrictive rule. Rule-set composition is performed at escrow initiation and the composed rule-set version is pinned to the smart contract for the lifetime of the escrow.</w:t>
      </w:r>
    </w:p>
    <w:p>
      <w:pPr>
        <w:pStyle w:val="BodyText"/>
      </w:pPr>
      <w:r>
        <w:rPr>
          <w:b/>
          <w:bCs/>
        </w:rPr>
        <w:t xml:space="preserve">4. The Identity Rail.</w:t>
      </w:r>
      <w:r>
        <w:t xml:space="preserve"> </w:t>
      </w:r>
      <w:r>
        <w:t xml:space="preserve">A hosted identity-verification service integrated with the System wherein identity attestations are:</w:t>
      </w:r>
      <w:r>
        <w:t xml:space="preserve"> </w:t>
      </w:r>
      <w:r>
        <w:t xml:space="preserve">- Issued by a third-party identity provider after KYC/AML verification (preferred embodiments include Stripe Identity and Coinbase Verified);</w:t>
      </w:r>
      <w:r>
        <w:t xml:space="preserve"> </w:t>
      </w:r>
      <w:r>
        <w:t xml:space="preserve">- Cryptographically bound to the user’s platform identity through a signed assertion;</w:t>
      </w:r>
      <w:r>
        <w:t xml:space="preserve"> </w:t>
      </w:r>
      <w:r>
        <w:t xml:space="preserve">- Persisted to the user’s parent DTC as a verifiable credential;</w:t>
      </w:r>
      <w:r>
        <w:t xml:space="preserve"> </w:t>
      </w:r>
      <w:r>
        <w:t xml:space="preserve">- Reusable across subsequent transactions without re-verification, subject to expiration and revocation rules.</w:t>
      </w:r>
    </w:p>
    <w:p>
      <w:pPr>
        <w:pStyle w:val="BodyText"/>
      </w:pPr>
      <w:r>
        <w:rPr>
          <w:b/>
          <w:bCs/>
        </w:rPr>
        <w:t xml:space="preserve">5. The Audit Chain.</w:t>
      </w:r>
      <w:r>
        <w:t xml:space="preserve"> </w:t>
      </w:r>
      <w:r>
        <w:t xml:space="preserve">A cryptographic ledger of all governance events:</w:t>
      </w:r>
      <w:r>
        <w:t xml:space="preserve"> </w:t>
      </w:r>
      <w:r>
        <w:t xml:space="preserve">- Each governance event (worker output, rule evaluation, state transition, signer action) is serialized into a structured JSON payload;</w:t>
      </w:r>
      <w:r>
        <w:t xml:space="preserve"> </w:t>
      </w:r>
      <w:r>
        <w:t xml:space="preserve">- The payload is hashed (SHA-256 in the preferred embodiment);</w:t>
      </w:r>
      <w:r>
        <w:t xml:space="preserve"> </w:t>
      </w:r>
      <w:r>
        <w:t xml:space="preserve">- The hash is signed by the platform’s signing key;</w:t>
      </w:r>
      <w:r>
        <w:t xml:space="preserve"> </w:t>
      </w:r>
      <w:r>
        <w:t xml:space="preserve">- The signed hash is written to a public blockchain (chain-agnostic; preferred embodiment Base) as a proof-of-existence anchor;</w:t>
      </w:r>
      <w:r>
        <w:t xml:space="preserve"> </w:t>
      </w:r>
      <w:r>
        <w:t xml:space="preserve">- The full event payload is retained off-chain in append-only storage, retrievable for audit by authorized parties (regulators, courts, parties to the transaction) but never written on-chain to preserve confidentiality.</w:t>
      </w:r>
    </w:p>
    <w:p>
      <w:pPr>
        <w:pStyle w:val="BodyText"/>
      </w:pPr>
      <w:r>
        <w:t xml:space="preserve">This separation of (a) the hash anchor on-chain providing tamper-evidence and (b) the full event payload off-chain providing audit detail is critical to the System’s architecture: it provides the strong tamper-evidence properties of blockchain without exposing sensitive transaction data.</w:t>
      </w:r>
    </w:p>
    <w:p>
      <w:pPr>
        <w:pStyle w:val="BodyText"/>
      </w:pPr>
      <w:r>
        <w:rPr>
          <w:b/>
          <w:bCs/>
        </w:rPr>
        <w:t xml:space="preserve">6. The Pre-Publish Constraint Check.</w:t>
      </w:r>
      <w:r>
        <w:t xml:space="preserve"> </w:t>
      </w:r>
      <w:r>
        <w:t xml:space="preserve">Before an escrow smart contract executes a release action, the System runs a pre-publish check evaluating the proposed action against:</w:t>
      </w:r>
      <w:r>
        <w:t xml:space="preserve"> </w:t>
      </w:r>
      <w:r>
        <w:t xml:space="preserve">- The pinned rule-set version;</w:t>
      </w:r>
      <w:r>
        <w:t xml:space="preserve"> </w:t>
      </w:r>
      <w:r>
        <w:t xml:space="preserve">- Real-time regulatory updates (e.g., OFAC sanctions list, SEC enforcement actions, jurisdiction-specific changes);</w:t>
      </w:r>
      <w:r>
        <w:t xml:space="preserve"> </w:t>
      </w:r>
      <w:r>
        <w:t xml:space="preserve">- Counterparty status (active, suspended, under investigation);</w:t>
      </w:r>
      <w:r>
        <w:t xml:space="preserve"> </w:t>
      </w:r>
      <w:r>
        <w:t xml:space="preserve">- Asset status (clear title, encumbrance, lien).</w:t>
      </w:r>
    </w:p>
    <w:p>
      <w:pPr>
        <w:pStyle w:val="BodyText"/>
      </w:pPr>
      <w:r>
        <w:t xml:space="preserve">Violations either block the action (hard stop) or route to a human review queue (soft stop) per the rule’s configured severity.</w:t>
      </w:r>
    </w:p>
    <w:bookmarkEnd w:id="85"/>
    <w:bookmarkStart w:id="86" w:name="escrow-lifecycle-walkthrough"/>
    <w:p>
      <w:pPr>
        <w:pStyle w:val="Heading3"/>
      </w:pPr>
      <w:r>
        <w:t xml:space="preserve">Escrow Lifecycle Walkthrough</w:t>
      </w:r>
    </w:p>
    <w:p>
      <w:pPr>
        <w:pStyle w:val="FirstParagraph"/>
      </w:pPr>
      <w:r>
        <w:t xml:space="preserve">The following describes a representative transaction lifecycle for a real estate sale; analogous flows apply to other industries.</w:t>
      </w:r>
    </w:p>
    <w:p>
      <w:pPr>
        <w:numPr>
          <w:ilvl w:val="0"/>
          <w:numId w:val="1033"/>
        </w:numPr>
      </w:pPr>
      <w:r>
        <w:rPr>
          <w:b/>
          <w:bCs/>
        </w:rPr>
        <w:t xml:space="preserve">Initiation.</w:t>
      </w:r>
      <w:r>
        <w:t xml:space="preserve"> </w:t>
      </w:r>
      <w:r>
        <w:t xml:space="preserve">Buyer and seller agree on an escrow transaction. One party (or their agent) creates an escrow record in the System, specifying the parent DTC representing the property, the agreed price, the closing date, jurisdictional details, and any conditions.</w:t>
      </w:r>
    </w:p>
    <w:p>
      <w:pPr>
        <w:numPr>
          <w:ilvl w:val="0"/>
          <w:numId w:val="1033"/>
        </w:numPr>
      </w:pPr>
      <w:r>
        <w:rPr>
          <w:b/>
          <w:bCs/>
        </w:rPr>
        <w:t xml:space="preserve">Rule-set composition and pinning.</w:t>
      </w:r>
      <w:r>
        <w:t xml:space="preserve"> </w:t>
      </w:r>
      <w:r>
        <w:t xml:space="preserve">The System composes the applicable RAAS rule set: Tier 0 platform safety + Tier 1 platform operations + Tier 2 real-estate-vertical rules for the property’s jurisdiction + any Tier 3 transaction-specific rules. The composed rule-set version is pinned to the escrow smart contract.</w:t>
      </w:r>
    </w:p>
    <w:p>
      <w:pPr>
        <w:numPr>
          <w:ilvl w:val="0"/>
          <w:numId w:val="1033"/>
        </w:numPr>
      </w:pPr>
      <w:r>
        <w:rPr>
          <w:b/>
          <w:bCs/>
        </w:rPr>
        <w:t xml:space="preserve">Identity verification.</w:t>
      </w:r>
      <w:r>
        <w:t xml:space="preserve"> </w:t>
      </w:r>
      <w:r>
        <w:t xml:space="preserve">Buyer and seller (and any agents) are verified through the Identity Rail. If existing verified identities are present, they are reused; otherwise, KYC/AML is initiated through the third-party identity provider. Each identity attestation is persisted as a child logbook entry on the user’s parent DTC.</w:t>
      </w:r>
    </w:p>
    <w:p>
      <w:pPr>
        <w:numPr>
          <w:ilvl w:val="0"/>
          <w:numId w:val="1033"/>
        </w:numPr>
      </w:pPr>
      <w:r>
        <w:rPr>
          <w:b/>
          <w:bCs/>
        </w:rPr>
        <w:t xml:space="preserve">Document ingestion.</w:t>
      </w:r>
      <w:r>
        <w:t xml:space="preserve"> </w:t>
      </w:r>
      <w:r>
        <w:t xml:space="preserve">The purchase agreement, title report, and any disclosures are uploaded. The Document Analysis Worker extracts structured terms, the Contract Review Worker evaluates against the pinned rule set, and findings (including any flagged clauses) are persisted to the escrow’s audit log.</w:t>
      </w:r>
    </w:p>
    <w:p>
      <w:pPr>
        <w:numPr>
          <w:ilvl w:val="0"/>
          <w:numId w:val="1033"/>
        </w:numPr>
      </w:pPr>
      <w:r>
        <w:rPr>
          <w:b/>
          <w:bCs/>
        </w:rPr>
        <w:t xml:space="preserve">Notarization (if required).</w:t>
      </w:r>
      <w:r>
        <w:t xml:space="preserve"> </w:t>
      </w:r>
      <w:r>
        <w:t xml:space="preserve">For jurisdictions requiring notarization, the Notary Worker routes the agreement to a certified digital notary service. The notarial attestation is persisted as a child logbook entry.</w:t>
      </w:r>
    </w:p>
    <w:p>
      <w:pPr>
        <w:numPr>
          <w:ilvl w:val="0"/>
          <w:numId w:val="1033"/>
        </w:numPr>
      </w:pPr>
      <w:r>
        <w:rPr>
          <w:b/>
          <w:bCs/>
        </w:rPr>
        <w:t xml:space="preserve">Smart contract deployment.</w:t>
      </w:r>
      <w:r>
        <w:t xml:space="preserve"> </w:t>
      </w:r>
      <w:r>
        <w:t xml:space="preserve">The escrow smart contract is deployed to the target blockchain with the parameters established above. The contract holds funds upon buyer deposit.</w:t>
      </w:r>
    </w:p>
    <w:p>
      <w:pPr>
        <w:numPr>
          <w:ilvl w:val="0"/>
          <w:numId w:val="1033"/>
        </w:numPr>
      </w:pPr>
      <w:r>
        <w:rPr>
          <w:b/>
          <w:bCs/>
        </w:rPr>
        <w:t xml:space="preserve">Continuous monitoring.</w:t>
      </w:r>
      <w:r>
        <w:t xml:space="preserve"> </w:t>
      </w:r>
      <w:r>
        <w:t xml:space="preserve">During the escrow period (typically days to weeks for real estate), the Fraud Detection Worker monitors the transaction and counterparty graph for anomalies. The Pre-Publish Constraint Check service evaluates any state-change requests against current rule-set state.</w:t>
      </w:r>
    </w:p>
    <w:p>
      <w:pPr>
        <w:numPr>
          <w:ilvl w:val="0"/>
          <w:numId w:val="1033"/>
        </w:numPr>
      </w:pPr>
      <w:r>
        <w:rPr>
          <w:b/>
          <w:bCs/>
        </w:rPr>
        <w:t xml:space="preserve">Release event.</w:t>
      </w:r>
      <w:r>
        <w:t xml:space="preserve"> </w:t>
      </w:r>
      <w:r>
        <w:t xml:space="preserve">When all release conditions are satisfied (signer approvals collected, regulatory checks passing, no fraud flags), the smart contract executes the release: funds transfer to seller, parent DTC ownership transfers to buyer, child logbook entries documenting the transfer event are minted, and the audit-chain anchor is written on-chain.</w:t>
      </w:r>
    </w:p>
    <w:p>
      <w:pPr>
        <w:numPr>
          <w:ilvl w:val="0"/>
          <w:numId w:val="1033"/>
        </w:numPr>
      </w:pPr>
      <w:r>
        <w:rPr>
          <w:b/>
          <w:bCs/>
        </w:rPr>
        <w:t xml:space="preserve">Post-closing audit.</w:t>
      </w:r>
      <w:r>
        <w:t xml:space="preserve"> </w:t>
      </w:r>
      <w:r>
        <w:t xml:space="preserve">The transaction record is permanently available for audit by the parties, their attorneys, regulators (where authorized), and courts (where subpoenaed). The combination of the on-chain hash anchor and the off-chain event payload allows any auditor to verify that the transaction occurred as recorded and was not altered.</w:t>
      </w:r>
    </w:p>
    <w:bookmarkEnd w:id="86"/>
    <w:bookmarkStart w:id="87" w:name="variations-and-embodiments-1"/>
    <w:p>
      <w:pPr>
        <w:pStyle w:val="Heading3"/>
      </w:pPr>
      <w:r>
        <w:t xml:space="preserve">Variations and Embodiments</w:t>
      </w:r>
    </w:p>
    <w:p>
      <w:pPr>
        <w:pStyle w:val="FirstParagraph"/>
      </w:pPr>
      <w:r>
        <w:t xml:space="preserve">The invention contemplates several embodiments:</w:t>
      </w:r>
    </w:p>
    <w:p>
      <w:pPr>
        <w:pStyle w:val="BodyText"/>
      </w:pPr>
      <w:r>
        <w:rPr>
          <w:b/>
          <w:bCs/>
        </w:rPr>
        <w:t xml:space="preserve">Cross-industry adaptations.</w:t>
      </w:r>
      <w:r>
        <w:t xml:space="preserve"> </w:t>
      </w:r>
      <w:r>
        <w:t xml:space="preserve">While the walkthrough describes real estate, analogous flows apply to: automotive title transfer (DMV registries), securities settlement (broker-dealer compliance), intellectual property licensing (USPTO/Copyright Office records), government contract escrow (FAR/DFARS compliance), supply chain provenance (luxury goods, regulated commodities), healthcare records (HIPAA-compliant patient transfer between institutions), education credentials (transcript verification), livestock and high-value pet transactions (pedigree, veterinary records).</w:t>
      </w:r>
    </w:p>
    <w:p>
      <w:pPr>
        <w:pStyle w:val="BodyText"/>
      </w:pPr>
      <w:r>
        <w:rPr>
          <w:b/>
          <w:bCs/>
        </w:rPr>
        <w:t xml:space="preserve">Cross-chain operation.</w:t>
      </w:r>
      <w:r>
        <w:t xml:space="preserve"> </w:t>
      </w:r>
      <w:r>
        <w:t xml:space="preserve">The audit-chain anchor is chain-agnostic. Preferred embodiments anchor to Base for cost-efficiency and reach; alternative embodiments anchor to Ethereum (for maximum decentralization), Polygon (for cost-efficiency at higher throughput), Solana (for fast settlement), or Avalanche (for sub-net isolation). The chain-agnostic design ensures the System remains operational as blockchain ecosystems evolve.</w:t>
      </w:r>
    </w:p>
    <w:p>
      <w:pPr>
        <w:pStyle w:val="BodyText"/>
      </w:pPr>
      <w:r>
        <w:rPr>
          <w:b/>
          <w:bCs/>
        </w:rPr>
        <w:t xml:space="preserve">Worker substitution.</w:t>
      </w:r>
      <w:r>
        <w:t xml:space="preserve"> </w:t>
      </w:r>
      <w:r>
        <w:t xml:space="preserve">Individual Digital Workers may be replaced or augmented without architectural change. For example, the Identity Verification Worker may use Stripe Identity in one deployment and Coinbase Verified in another, with the System’s identity-rail abstraction normalizing the attestation format. Similarly, the Document Analysis Worker may be backed by different large language models (e.g., Anthropic Claude, OpenAI GPT, Google Gemini) interchangeably.</w:t>
      </w:r>
    </w:p>
    <w:p>
      <w:pPr>
        <w:pStyle w:val="BodyText"/>
      </w:pPr>
      <w:r>
        <w:rPr>
          <w:b/>
          <w:bCs/>
        </w:rPr>
        <w:t xml:space="preserve">Notary integration.</w:t>
      </w:r>
      <w:r>
        <w:t xml:space="preserve"> </w:t>
      </w:r>
      <w:r>
        <w:t xml:space="preserve">The Notary Worker supports both fully-digital notarization (where jurisdiction permits) and hybrid models requiring human notary signature with digital attestation capture. The System routes to the appropriate notary type per the pinned vertical rule set.</w:t>
      </w:r>
    </w:p>
    <w:p>
      <w:pPr>
        <w:pStyle w:val="BodyText"/>
      </w:pPr>
      <w:r>
        <w:rPr>
          <w:b/>
          <w:bCs/>
        </w:rPr>
        <w:t xml:space="preserve">Dispute resolution variants.</w:t>
      </w:r>
      <w:r>
        <w:t xml:space="preserve"> </w:t>
      </w:r>
      <w:r>
        <w:t xml:space="preserve">The Dispute Resolution Worker may recommend (a) automated arbitration through a smart-contract-encoded process, (b) routing to a human arbitrator with the full audit chain provided as evidence, or (c) routing to traditional litigation with the audit chain serving as discovery material. The choice is configurable per transaction.</w:t>
      </w:r>
    </w:p>
    <w:p>
      <w:pPr>
        <w:pStyle w:val="BodyText"/>
      </w:pPr>
      <w:r>
        <w:rPr>
          <w:b/>
          <w:bCs/>
        </w:rPr>
        <w:t xml:space="preserve">Identity attestation reuse.</w:t>
      </w:r>
      <w:r>
        <w:t xml:space="preserve"> </w:t>
      </w:r>
      <w:r>
        <w:t xml:space="preserve">A user verified for one escrow may reuse the attestation for subsequent escrows without re-verification, subject to:</w:t>
      </w:r>
      <w:r>
        <w:t xml:space="preserve"> </w:t>
      </w:r>
      <w:r>
        <w:t xml:space="preserve">- Expiration (typically 12 months for KYC, 6 months for sanctions screening);</w:t>
      </w:r>
      <w:r>
        <w:t xml:space="preserve"> </w:t>
      </w:r>
      <w:r>
        <w:t xml:space="preserve">- Revocation (regulator-triggered or platform-triggered);</w:t>
      </w:r>
      <w:r>
        <w:t xml:space="preserve"> </w:t>
      </w:r>
      <w:r>
        <w:t xml:space="preserve">- Material change (significant counterparty status change triggers re-verification).</w:t>
      </w:r>
    </w:p>
    <w:p>
      <w:r>
        <w:pict>
          <v:rect style="width:0;height:1.5pt" o:hralign="center" o:hrstd="t" o:hr="t"/>
        </w:pict>
      </w:r>
    </w:p>
    <w:bookmarkEnd w:id="87"/>
    <w:bookmarkEnd w:id="88"/>
    <w:bookmarkStart w:id="89" w:name="brief-description-of-the-drawings-3"/>
    <w:p>
      <w:pPr>
        <w:pStyle w:val="Heading2"/>
      </w:pPr>
      <w:r>
        <w:t xml:space="preserve">BRIEF DESCRIPTION OF THE DRAWINGS</w:t>
      </w:r>
    </w:p>
    <w:p>
      <w:pPr>
        <w:pStyle w:val="FirstParagraph"/>
      </w:pPr>
      <w:r>
        <w:t xml:space="preserve">(To be supplied with formal drawings prior to filing. Drawing references herein are descriptive.)</w:t>
      </w:r>
    </w:p>
    <w:p>
      <w:pPr>
        <w:pStyle w:val="BodyText"/>
      </w:pPr>
      <w:r>
        <w:rPr>
          <w:b/>
          <w:bCs/>
        </w:rPr>
        <w:t xml:space="preserve">Figure 1:</w:t>
      </w:r>
      <w:r>
        <w:t xml:space="preserve"> </w:t>
      </w:r>
      <w:r>
        <w:t xml:space="preserve">System architecture overview showing the Escrow Smart Contract Layer, Digital Worker Layer, RAAS Rule Composition Layer, Identity Rail, Audit Chain, and Pre-Publish Constraint Check, with interconnections.</w:t>
      </w:r>
    </w:p>
    <w:p>
      <w:pPr>
        <w:pStyle w:val="BodyText"/>
      </w:pPr>
      <w:r>
        <w:rPr>
          <w:b/>
          <w:bCs/>
        </w:rPr>
        <w:t xml:space="preserve">Figure 2:</w:t>
      </w:r>
      <w:r>
        <w:t xml:space="preserve"> </w:t>
      </w:r>
      <w:r>
        <w:t xml:space="preserve">Parent-child DTC structure showing one parent DTC representing an asset with multiple child logbook entries representing escrow lifecycle events (identity attestation, document ingestion, notarization, release, audit-chain anchor).</w:t>
      </w:r>
    </w:p>
    <w:p>
      <w:pPr>
        <w:pStyle w:val="BodyText"/>
      </w:pPr>
      <w:r>
        <w:rPr>
          <w:b/>
          <w:bCs/>
        </w:rPr>
        <w:t xml:space="preserve">Figure 3:</w:t>
      </w:r>
      <w:r>
        <w:t xml:space="preserve"> </w:t>
      </w:r>
      <w:r>
        <w:t xml:space="preserve">Multi-tier RAAS rule composition diagram showing Tier 0 Platform Safety, Tier 1 Platform Operations, Tier 2 Vertical Baselines, Tier 3 Per-Transaction, with the composition algorithm and conflict resolution.</w:t>
      </w:r>
    </w:p>
    <w:p>
      <w:pPr>
        <w:pStyle w:val="BodyText"/>
      </w:pPr>
      <w:r>
        <w:rPr>
          <w:b/>
          <w:bCs/>
        </w:rPr>
        <w:t xml:space="preserve">Figure 4:</w:t>
      </w:r>
      <w:r>
        <w:t xml:space="preserve"> </w:t>
      </w:r>
      <w:r>
        <w:t xml:space="preserve">Escrow lifecycle flow diagram showing the nine stages (initiation through post-closing audit).</w:t>
      </w:r>
    </w:p>
    <w:p>
      <w:pPr>
        <w:pStyle w:val="BodyText"/>
      </w:pPr>
      <w:r>
        <w:rPr>
          <w:b/>
          <w:bCs/>
        </w:rPr>
        <w:t xml:space="preserve">Figure 5:</w:t>
      </w:r>
      <w:r>
        <w:t xml:space="preserve"> </w:t>
      </w:r>
      <w:r>
        <w:t xml:space="preserve">Audit chain anchoring detail showing the cryptographic hash, signature, on-chain anchor, and off-chain event payload retention.</w:t>
      </w:r>
    </w:p>
    <w:p>
      <w:pPr>
        <w:pStyle w:val="BodyText"/>
      </w:pPr>
      <w:r>
        <w:rPr>
          <w:b/>
          <w:bCs/>
        </w:rPr>
        <w:t xml:space="preserve">Figure 6:</w:t>
      </w:r>
      <w:r>
        <w:t xml:space="preserve"> </w:t>
      </w:r>
      <w:r>
        <w:t xml:space="preserve">Worker substitution architecture showing the platform-agnostic worker interface and example backings (Stripe Identity vs. Coinbase Verified; Claude vs. GPT vs. Gemini).</w:t>
      </w:r>
    </w:p>
    <w:p>
      <w:r>
        <w:pict>
          <v:rect style="width:0;height:1.5pt" o:hralign="center" o:hrstd="t" o:hr="t"/>
        </w:pict>
      </w:r>
    </w:p>
    <w:bookmarkEnd w:id="89"/>
    <w:bookmarkStart w:id="90" w:name="claims-3"/>
    <w:p>
      <w:pPr>
        <w:pStyle w:val="Heading2"/>
      </w:pPr>
      <w:r>
        <w:t xml:space="preserve">CLAIMS</w:t>
      </w:r>
    </w:p>
    <w:p>
      <w:pPr>
        <w:pStyle w:val="FirstParagraph"/>
      </w:pPr>
      <w:r>
        <w:t xml:space="preserve">(Provisional claims; non-limiting. Formal claim drafting will refine these.)</w:t>
      </w:r>
    </w:p>
    <w:p>
      <w:pPr>
        <w:pStyle w:val="BodyText"/>
      </w:pPr>
      <w:r>
        <w:rPr>
          <w:b/>
          <w:bCs/>
        </w:rPr>
        <w:t xml:space="preserve">Claim 1.</w:t>
      </w:r>
      <w:r>
        <w:t xml:space="preserve"> </w:t>
      </w:r>
      <w:r>
        <w:t xml:space="preserve">A computer-implemented system for governing asset transactions, the system comprising:</w:t>
      </w:r>
      <w:r>
        <w:t xml:space="preserve"> </w:t>
      </w:r>
      <w:r>
        <w:t xml:space="preserve">(a) a parent-child digital title certificate record structure stored on a blockchain wherein a parent record represents an asset in escrow and each governance event during the escrow lifecycle generates a child record cryptographically bound to the parent;</w:t>
      </w:r>
      <w:r>
        <w:t xml:space="preserve"> </w:t>
      </w:r>
      <w:r>
        <w:t xml:space="preserve">(b) a multi-tier rule composition layer comprising platform-level rules, vertical-level rules, and per-transaction rules, wherein the composed rule-set version is pinned to the escrow at initiation;</w:t>
      </w:r>
      <w:r>
        <w:t xml:space="preserve"> </w:t>
      </w:r>
      <w:r>
        <w:t xml:space="preserve">(c) one or more artificial-intelligence-powered services operating within the bounds of the composed rule set, each service implementing a specific governance function selected from the group consisting of: identity verification, document analysis, contract review, fraud detection, notarization, and dispute resolution;</w:t>
      </w:r>
      <w:r>
        <w:t xml:space="preserve"> </w:t>
      </w:r>
      <w:r>
        <w:t xml:space="preserve">(d) a hosted identity verification rail wherein identity attestations are cryptographically bound to user platform identities and persist as inputs to subsequent transactions;</w:t>
      </w:r>
      <w:r>
        <w:t xml:space="preserve"> </w:t>
      </w:r>
      <w:r>
        <w:t xml:space="preserve">(e) a cryptographic audit chain wherein governance events are hashed, signed, and anchored to a public blockchain while the underlying event payload is retained off-chain;</w:t>
      </w:r>
      <w:r>
        <w:t xml:space="preserve"> </w:t>
      </w:r>
      <w:r>
        <w:t xml:space="preserve">(f) a pre-publish constraint check service evaluating proposed transaction actions against the pinned rule set before smart contract execution; and</w:t>
      </w:r>
      <w:r>
        <w:t xml:space="preserve"> </w:t>
      </w:r>
      <w:r>
        <w:t xml:space="preserve">(g) a multi-signature smart contract escrow wallet executing release of assets when configured signer approvals are collected and rule-set evaluation passes.</w:t>
      </w:r>
    </w:p>
    <w:p>
      <w:pPr>
        <w:pStyle w:val="BodyText"/>
      </w:pPr>
      <w:r>
        <w:rPr>
          <w:b/>
          <w:bCs/>
        </w:rPr>
        <w:t xml:space="preserve">Claim 2.</w:t>
      </w:r>
      <w:r>
        <w:t xml:space="preserve"> </w:t>
      </w:r>
      <w:r>
        <w:t xml:space="preserve">The system of Claim 1, wherein the composed rule set comprises:</w:t>
      </w:r>
      <w:r>
        <w:t xml:space="preserve"> </w:t>
      </w:r>
      <w:r>
        <w:t xml:space="preserve">(i) immutable platform safety rules;</w:t>
      </w:r>
      <w:r>
        <w:t xml:space="preserve"> </w:t>
      </w:r>
      <w:r>
        <w:t xml:space="preserve">(ii) platform operational rules;</w:t>
      </w:r>
      <w:r>
        <w:t xml:space="preserve"> </w:t>
      </w:r>
      <w:r>
        <w:t xml:space="preserve">(iii) vertical-specific regulatory rule sets selected from the group including real estate, securities, transportation, healthcare, intellectual property, government registries, supply chain, education, and digital assets; and</w:t>
      </w:r>
      <w:r>
        <w:t xml:space="preserve"> </w:t>
      </w:r>
      <w:r>
        <w:t xml:space="preserve">(iv) per-transaction custom rules layered additively with conflict resolution prioritizing the most-restrictive rule.</w:t>
      </w:r>
    </w:p>
    <w:p>
      <w:pPr>
        <w:pStyle w:val="BodyText"/>
      </w:pPr>
      <w:r>
        <w:rPr>
          <w:b/>
          <w:bCs/>
        </w:rPr>
        <w:t xml:space="preserve">Claim 3.</w:t>
      </w:r>
      <w:r>
        <w:t xml:space="preserve"> </w:t>
      </w:r>
      <w:r>
        <w:t xml:space="preserve">The system of Claim 1, wherein the cryptographic audit chain is chain-agnostic, with embodiments including anchoring to Base, Ethereum, Polygon, Solana, and Avalanche blockchains, with the hash anchor providing tamper-evidence and the off-chain event payload providing confidential audit detail.</w:t>
      </w:r>
    </w:p>
    <w:p>
      <w:pPr>
        <w:pStyle w:val="BodyText"/>
      </w:pPr>
      <w:r>
        <w:rPr>
          <w:b/>
          <w:bCs/>
        </w:rPr>
        <w:t xml:space="preserve">Claim 4.</w:t>
      </w:r>
      <w:r>
        <w:t xml:space="preserve"> </w:t>
      </w:r>
      <w:r>
        <w:t xml:space="preserve">The system of Claim 1, wherein the identity verification rail integrates with third-party KYC/AML providers and the resulting attestation is reusable across subsequent transactions subject to configurable expiration, revocation, and material-change triggers.</w:t>
      </w:r>
    </w:p>
    <w:p>
      <w:pPr>
        <w:pStyle w:val="BodyText"/>
      </w:pPr>
      <w:r>
        <w:rPr>
          <w:b/>
          <w:bCs/>
        </w:rPr>
        <w:t xml:space="preserve">Claim 5.</w:t>
      </w:r>
      <w:r>
        <w:t xml:space="preserve"> </w:t>
      </w:r>
      <w:r>
        <w:t xml:space="preserve">The system of Claim 1, wherein the artificial-intelligence-powered services are model-agnostic, with substitutable language models including (but not limited to) Anthropic Claude, OpenAI GPT, and Google Gemini, normalized through a worker abstraction layer.</w:t>
      </w:r>
    </w:p>
    <w:p>
      <w:pPr>
        <w:pStyle w:val="BodyText"/>
      </w:pPr>
      <w:r>
        <w:rPr>
          <w:b/>
          <w:bCs/>
        </w:rPr>
        <w:t xml:space="preserve">Claim 6.</w:t>
      </w:r>
      <w:r>
        <w:t xml:space="preserve"> </w:t>
      </w:r>
      <w:r>
        <w:t xml:space="preserve">A method for executing a governed escrow transaction, the method comprising:</w:t>
      </w:r>
      <w:r>
        <w:t xml:space="preserve"> </w:t>
      </w:r>
      <w:r>
        <w:t xml:space="preserve">(a) composing a rule set from platform-level, vertical-level, and per-transaction rules and pinning the composed version to a smart contract;</w:t>
      </w:r>
      <w:r>
        <w:t xml:space="preserve"> </w:t>
      </w:r>
      <w:r>
        <w:t xml:space="preserve">(b) verifying the identities of transacting parties through a hosted identity rail and persisting attestations as child records on parent digital title certificates;</w:t>
      </w:r>
      <w:r>
        <w:t xml:space="preserve"> </w:t>
      </w:r>
      <w:r>
        <w:t xml:space="preserve">(c) ingesting transaction documents through an artificial-intelligence-powered document analysis service operating within the pinned rule set;</w:t>
      </w:r>
      <w:r>
        <w:t xml:space="preserve"> </w:t>
      </w:r>
      <w:r>
        <w:t xml:space="preserve">(d) routing the transaction through digital notarization where the pinned rule set requires;</w:t>
      </w:r>
      <w:r>
        <w:t xml:space="preserve"> </w:t>
      </w:r>
      <w:r>
        <w:t xml:space="preserve">(e) monitoring the transaction continuously through an artificial-intelligence-powered fraud detection service;</w:t>
      </w:r>
      <w:r>
        <w:t xml:space="preserve"> </w:t>
      </w:r>
      <w:r>
        <w:t xml:space="preserve">(f) evaluating proposed release actions through a pre-publish constraint check against the pinned rule set;</w:t>
      </w:r>
      <w:r>
        <w:t xml:space="preserve"> </w:t>
      </w:r>
      <w:r>
        <w:t xml:space="preserve">(g) executing release through the smart contract upon collected signer approvals and passing constraint check; and</w:t>
      </w:r>
      <w:r>
        <w:t xml:space="preserve"> </w:t>
      </w:r>
      <w:r>
        <w:t xml:space="preserve">(h) anchoring each governance event to a cryptographic audit chain.</w:t>
      </w:r>
    </w:p>
    <w:p>
      <w:pPr>
        <w:pStyle w:val="BodyText"/>
      </w:pPr>
      <w:r>
        <w:rPr>
          <w:b/>
          <w:bCs/>
        </w:rPr>
        <w:t xml:space="preserve">Claim 7.</w:t>
      </w:r>
      <w:r>
        <w:t xml:space="preserve"> </w:t>
      </w:r>
      <w:r>
        <w:t xml:space="preserve">The method of Claim 6, wherein dispute resolution is performed by an artificial-intelligence-powered service analyzing transaction history, pinned rule-set state, and applicable legal precedents to produce a recommended resolution persisted as a child record on the parent digital title certificate.</w:t>
      </w:r>
    </w:p>
    <w:p>
      <w:pPr>
        <w:pStyle w:val="BodyText"/>
      </w:pPr>
      <w:r>
        <w:rPr>
          <w:b/>
          <w:bCs/>
        </w:rPr>
        <w:t xml:space="preserve">Claim 8.</w:t>
      </w:r>
      <w:r>
        <w:t xml:space="preserve"> </w:t>
      </w:r>
      <w:r>
        <w:t xml:space="preserve">The system of Claim 1, applied to real estate transactions wherein parent digital title certificates represent properties and child records represent liens, encumbrances, transfers, and inspections.</w:t>
      </w:r>
    </w:p>
    <w:p>
      <w:pPr>
        <w:pStyle w:val="BodyText"/>
      </w:pPr>
      <w:r>
        <w:rPr>
          <w:b/>
          <w:bCs/>
        </w:rPr>
        <w:t xml:space="preserve">Claim 9.</w:t>
      </w:r>
      <w:r>
        <w:t xml:space="preserve"> </w:t>
      </w:r>
      <w:r>
        <w:t xml:space="preserve">The system of Claim 1, applied to automotive title transactions wherein parent digital title certificates represent vehicles and child records represent maintenance, accidents, ownership transfers, and DMV interactions.</w:t>
      </w:r>
    </w:p>
    <w:p>
      <w:pPr>
        <w:pStyle w:val="BodyText"/>
      </w:pPr>
      <w:r>
        <w:rPr>
          <w:b/>
          <w:bCs/>
        </w:rPr>
        <w:t xml:space="preserve">Claim 10.</w:t>
      </w:r>
      <w:r>
        <w:t xml:space="preserve"> </w:t>
      </w:r>
      <w:r>
        <w:t xml:space="preserve">The system of Claim 1, applied to securities settlement wherein parent digital title certificates represent ownership interests in financial instruments and child records represent trades, dividends, voting events, and regulatory filings.</w:t>
      </w:r>
    </w:p>
    <w:p>
      <w:pPr>
        <w:pStyle w:val="BodyText"/>
      </w:pPr>
      <w:r>
        <w:rPr>
          <w:b/>
          <w:bCs/>
        </w:rPr>
        <w:t xml:space="preserve">Claim 11.</w:t>
      </w:r>
      <w:r>
        <w:t xml:space="preserve"> </w:t>
      </w:r>
      <w:r>
        <w:t xml:space="preserve">The system of Claim 1, applied to government contract escrow wherein parent digital title certificates represent contract obligations and child records represent milestone completions, compliance attestations, and payment releases.</w:t>
      </w:r>
    </w:p>
    <w:p>
      <w:pPr>
        <w:pStyle w:val="BodyText"/>
      </w:pPr>
      <w:r>
        <w:rPr>
          <w:b/>
          <w:bCs/>
        </w:rPr>
        <w:t xml:space="preserve">Claim 12.</w:t>
      </w:r>
      <w:r>
        <w:t xml:space="preserve"> </w:t>
      </w:r>
      <w:r>
        <w:t xml:space="preserve">The system of Claim 1, applied to healthcare record escrow wherein parent digital title certificates represent patient records, child records represent transfer events, and the system enforces HIPAA-compliant access controls within the rule composition.</w:t>
      </w:r>
    </w:p>
    <w:p>
      <w:r>
        <w:pict>
          <v:rect style="width:0;height:1.5pt" o:hralign="center" o:hrstd="t" o:hr="t"/>
        </w:pict>
      </w:r>
    </w:p>
    <w:bookmarkEnd w:id="90"/>
    <w:bookmarkStart w:id="91" w:name="abstract-3"/>
    <w:p>
      <w:pPr>
        <w:pStyle w:val="Heading2"/>
      </w:pPr>
      <w:r>
        <w:t xml:space="preserve">ABSTRACT</w:t>
      </w:r>
    </w:p>
    <w:p>
      <w:pPr>
        <w:pStyle w:val="FirstParagraph"/>
      </w:pPr>
      <w:r>
        <w:t xml:space="preserve">An AI-Integrated Blockchain Escrow Locker System comprising a parent-child digital title certificate record structure, a multi-tier composable rule set, AI-powered Digital Workers operating within the rule set, a hosted identity verification rail, a chain-agnostic hash-anchored audit chain, a pre-publish constraint check service, and a multi-signature smart contract escrow wallet. The System enables fraud-resistant, regulatory-compliant, jurisdictionally-aware asset transactions across real estate, automotive, securities, intellectual property, healthcare, government registries, supply chain, education, and digital assets. Identity attestations are cryptographically bound to user platform identities and reusable across transactions. Each governance event is hashed and anchored on-chain for tamper-evidence while the underlying payload is retained off-chain for confidentiality. The System composes platform-level, vertical-level, and per-transaction rules with conflict resolution prioritizing the most-restrictive rule. The composed rule-set version is pinned to each escrow for retrospective auditability. The System extends prior art parent-child DTC architecture (U.S. Patent Application No. 18/398,973 and December 2024 Blockchain Logbook System filing) by composing those foundations with AI-governed worker layers, multi-tier rule architecture, identity rails, and pre-publish constraint enforcement to enable end-to-end automated, auditable, jurisdictionally-compliant asset transactions not enabled by the prior art alone.</w:t>
      </w:r>
    </w:p>
    <w:p>
      <w:r>
        <w:pict>
          <v:rect style="width:0;height:1.5pt" o:hralign="center" o:hrstd="t" o:hr="t"/>
        </w:pict>
      </w:r>
    </w:p>
    <w:bookmarkEnd w:id="91"/>
    <w:bookmarkStart w:id="92" w:name="inventorship-and-assignment-notes-3"/>
    <w:p>
      <w:pPr>
        <w:pStyle w:val="Heading2"/>
      </w:pPr>
      <w:r>
        <w:t xml:space="preserve">INVENTORSHIP AND ASSIGNMENT NOTES</w:t>
      </w:r>
    </w:p>
    <w:p>
      <w:pPr>
        <w:pStyle w:val="FirstParagraph"/>
      </w:pPr>
      <w:r>
        <w:rPr>
          <w:b/>
          <w:bCs/>
        </w:rPr>
        <w:t xml:space="preserve">Named Inventor:</w:t>
      </w:r>
      <w:r>
        <w:t xml:space="preserve"> </w:t>
      </w:r>
      <w:r>
        <w:t xml:space="preserve">Sean Lee Combs, sole inventor.</w:t>
      </w:r>
    </w:p>
    <w:p>
      <w:pPr>
        <w:pStyle w:val="BodyText"/>
      </w:pPr>
      <w:r>
        <w:rPr>
          <w:b/>
          <w:bCs/>
        </w:rPr>
        <w:t xml:space="preserve">Applicant:</w:t>
      </w:r>
      <w:r>
        <w:t xml:space="preserve"> </w:t>
      </w:r>
      <w:r>
        <w:t xml:space="preserve">SOCIII Inc., a Delaware C-corporation. Inventor assigned all rights, title, and interest to applicant under separate IP Assignment Agreement executed in connection with SOCIII Inc. formation (May 2026).</w:t>
      </w:r>
    </w:p>
    <w:p>
      <w:pPr>
        <w:pStyle w:val="BodyText"/>
      </w:pPr>
      <w:r>
        <w:rPr>
          <w:b/>
          <w:bCs/>
        </w:rPr>
        <w:t xml:space="preserve">Prior Art Citation Note:</w:t>
      </w:r>
      <w:r>
        <w:t xml:space="preserve"> </w:t>
      </w:r>
      <w:r>
        <w:t xml:space="preserve">This application explicitly cites U.S. Patent Application No. 18/398,973 (Combs, 2023, abandoned, published 2025) and the December 2024 Blockchain Logbook System filing (Combs) as prior art. These citations establish the foundational parent-child DTC architecture as known in the art and frame the present claims as system-level composition that extends, rather than reclaims, the prior disclosures. The continuous invention thread documented by these citations establishes inventor priority on the architectural pattern and strengthens the present claims against future competing filings.</w:t>
      </w:r>
    </w:p>
    <w:p>
      <w:pPr>
        <w:pStyle w:val="BodyText"/>
      </w:pPr>
      <w:r>
        <w:rPr>
          <w:b/>
          <w:bCs/>
        </w:rPr>
        <w:t xml:space="preserve">Grace Period Note:</w:t>
      </w:r>
      <w:r>
        <w:t xml:space="preserve"> </w:t>
      </w:r>
      <w:r>
        <w:t xml:space="preserve">The 2023 nonprovisional and 2024 logbook filing are now public prior art. The 12-month grace period under 35 U.S.C. § 102(b)(1) for the inventor’s own prior disclosures closes approximately June 28, 2026 (twelve months after publication of 18/398,973). This filing occurs well within the grace period.</w:t>
      </w:r>
    </w:p>
    <w:p>
      <w:r>
        <w:pict>
          <v:rect style="width:0;height:1.5pt" o:hralign="center" o:hrstd="t" o:hr="t"/>
        </w:pict>
      </w:r>
    </w:p>
    <w:p>
      <w:pPr>
        <w:pStyle w:val="FirstParagraph"/>
      </w:pPr>
      <w:r>
        <w:rPr>
          <w:i/>
          <w:iCs/>
        </w:rPr>
        <w:t xml:space="preserve">End of Filing A draft. Sean to review, refine claim language, and add formal drawings before USPTO submission.</w:t>
      </w:r>
    </w:p>
    <w:bookmarkEnd w:id="92"/>
    <w:bookmarkEnd w:id="93"/>
    <w:bookmarkStart w:id="94" w:name="X054bc4ee0f4564e4a3c9637766555e2d51c0c3c"/>
    <w:p>
      <w:pPr>
        <w:pStyle w:val="Heading1"/>
      </w:pPr>
      <w:r>
        <w:t xml:space="preserve">Filing B — Title and Property Assurance (App # 64/073,706)</w:t>
      </w:r>
    </w:p>
    <w:bookmarkEnd w:id="94"/>
    <w:bookmarkStart w:id="114" w:name="X02c4f20736deee453d751db5781c9e9be61a0fa"/>
    <w:p>
      <w:pPr>
        <w:pStyle w:val="Heading1"/>
      </w:pPr>
      <w:r>
        <w:t xml:space="preserve">Filing B — Blockchain-Based Title and Property Assurance System with AI-Governed Worker Composition</w:t>
      </w:r>
    </w:p>
    <w:p>
      <w:pPr>
        <w:pStyle w:val="FirstParagraph"/>
      </w:pPr>
      <w:r>
        <w:rPr>
          <w:b/>
          <w:bCs/>
        </w:rPr>
        <w:t xml:space="preserve">Type:</w:t>
      </w:r>
      <w:r>
        <w:t xml:space="preserve"> </w:t>
      </w:r>
      <w:r>
        <w:t xml:space="preserve">Provisional Patent Application (35 U.S.C. § 111(b))</w:t>
      </w:r>
      <w:r>
        <w:t xml:space="preserve"> </w:t>
      </w:r>
      <w:r>
        <w:rPr>
          <w:b/>
          <w:bCs/>
        </w:rPr>
        <w:t xml:space="preserve">Filing target:</w:t>
      </w:r>
      <w:r>
        <w:t xml:space="preserve"> </w:t>
      </w:r>
      <w:r>
        <w:t xml:space="preserve">Sun 2026-05-24 via USPTO EFS-Web</w:t>
      </w:r>
      <w:r>
        <w:t xml:space="preserve"> </w:t>
      </w:r>
      <w:r>
        <w:rPr>
          <w:b/>
          <w:bCs/>
        </w:rPr>
        <w:t xml:space="preserve">Applicant:</w:t>
      </w:r>
      <w:r>
        <w:t xml:space="preserve"> </w:t>
      </w:r>
      <w:r>
        <w:t xml:space="preserve">SOCIII Inc. (Delaware C-corporation)</w:t>
      </w:r>
      <w:r>
        <w:t xml:space="preserve"> </w:t>
      </w:r>
      <w:r>
        <w:rPr>
          <w:b/>
          <w:bCs/>
        </w:rPr>
        <w:t xml:space="preserve">Named Inventor:</w:t>
      </w:r>
      <w:r>
        <w:t xml:space="preserve"> </w:t>
      </w:r>
      <w:r>
        <w:t xml:space="preserve">Sean Lee Combs</w:t>
      </w:r>
      <w:r>
        <w:t xml:space="preserve"> </w:t>
      </w:r>
      <w:r>
        <w:rPr>
          <w:b/>
          <w:bCs/>
        </w:rPr>
        <w:t xml:space="preserve">Small entity status:</w:t>
      </w:r>
      <w:r>
        <w:t xml:space="preserve"> </w:t>
      </w:r>
      <w:r>
        <w:t xml:space="preserve">Yes</w:t>
      </w:r>
      <w:r>
        <w:t xml:space="preserve"> </w:t>
      </w:r>
      <w:r>
        <w:rPr>
          <w:b/>
          <w:bCs/>
        </w:rPr>
        <w:t xml:space="preserve">Estimated filing fee:</w:t>
      </w:r>
      <w:r>
        <w:t xml:space="preserve"> </w:t>
      </w:r>
      <w:r>
        <w:t xml:space="preserve">$120</w:t>
      </w:r>
    </w:p>
    <w:p>
      <w:r>
        <w:pict>
          <v:rect style="width:0;height:1.5pt" o:hralign="center" o:hrstd="t" o:hr="t"/>
        </w:pict>
      </w:r>
    </w:p>
    <w:bookmarkStart w:id="95" w:name="title-of-invention-4"/>
    <w:p>
      <w:pPr>
        <w:pStyle w:val="Heading2"/>
      </w:pPr>
      <w:r>
        <w:t xml:space="preserve">TITLE OF INVENTION</w:t>
      </w:r>
    </w:p>
    <w:p>
      <w:pPr>
        <w:pStyle w:val="FirstParagraph"/>
      </w:pPr>
      <w:r>
        <w:rPr>
          <w:b/>
          <w:bCs/>
        </w:rPr>
        <w:t xml:space="preserve">Blockchain-Based Title and Property Assurance System with AI-Governed Worker Composition, Multi-Tier Compliance Rules, and Real-Time Risk Underwriting Through Composed Parent-Child Digital Title Certificate Architecture</w:t>
      </w:r>
    </w:p>
    <w:p>
      <w:r>
        <w:pict>
          <v:rect style="width:0;height:1.5pt" o:hralign="center" o:hrstd="t" o:hr="t"/>
        </w:pict>
      </w:r>
    </w:p>
    <w:bookmarkEnd w:id="95"/>
    <w:bookmarkStart w:id="96" w:name="field-of-the-invention-4"/>
    <w:p>
      <w:pPr>
        <w:pStyle w:val="Heading2"/>
      </w:pPr>
      <w:r>
        <w:t xml:space="preserve">FIELD OF THE INVENTION</w:t>
      </w:r>
    </w:p>
    <w:p>
      <w:pPr>
        <w:pStyle w:val="FirstParagraph"/>
      </w:pPr>
      <w:r>
        <w:t xml:space="preserve">The present invention relates to title assurance and property insurance systems, and more particularly to a blockchain-based system that composes parent-child Digital Title Certificate (DTC) architecture, AI-powered Digital Workers for title examination and risk underwriting, multi-tier compliance rule sets, and chain-agnostic audit anchoring to enable real-time, immutable, and dynamically-priced title assurance and property insurance across real estate, vehicles, intellectual property, professional credentials, and other asset classes.</w:t>
      </w:r>
    </w:p>
    <w:p>
      <w:r>
        <w:pict>
          <v:rect style="width:0;height:1.5pt" o:hralign="center" o:hrstd="t" o:hr="t"/>
        </w:pict>
      </w:r>
    </w:p>
    <w:bookmarkEnd w:id="96"/>
    <w:bookmarkStart w:id="102" w:name="background-of-the-invention-4"/>
    <w:p>
      <w:pPr>
        <w:pStyle w:val="Heading2"/>
      </w:pPr>
      <w:r>
        <w:t xml:space="preserve">BACKGROUND OF THE INVENTION</w:t>
      </w:r>
    </w:p>
    <w:bookmarkStart w:id="97" w:name="continuous-invention-thread-4"/>
    <w:p>
      <w:pPr>
        <w:pStyle w:val="Heading3"/>
      </w:pPr>
      <w:r>
        <w:t xml:space="preserve">Continuous Invention Thread</w:t>
      </w:r>
    </w:p>
    <w:p>
      <w:pPr>
        <w:pStyle w:val="FirstParagraph"/>
      </w:pPr>
      <w:r>
        <w:t xml:space="preserve">This invention extends a continuous body of work in blockchain-anchored title assurance, including:</w:t>
      </w:r>
    </w:p>
    <w:p>
      <w:pPr>
        <w:numPr>
          <w:ilvl w:val="0"/>
          <w:numId w:val="1034"/>
        </w:numPr>
      </w:pPr>
      <w:r>
        <w:t xml:space="preserve">U.S. Patent Application No. 18/398,973 (Combs, filed December 28, 2023; abandoned in prosecution and published as prior art approximately June 28, 2025) which disclosed foundational parent-child Digital Title Certificate (DTC) architecture and blockchain-anchored ownership records;</w:t>
      </w:r>
    </w:p>
    <w:p>
      <w:pPr>
        <w:numPr>
          <w:ilvl w:val="0"/>
          <w:numId w:val="1034"/>
        </w:numPr>
      </w:pPr>
      <w:r>
        <w:t xml:space="preserve">A December 2024 Blockchain Logbook System filing (Combs) which extended the parent-child architecture to dynamically-updatable logbook records minted as NFT children cryptographically tied to a parent DTC, with package-transfer semantics where ownership transfer of the parent DTC automatically includes all child logbook entries.</w:t>
      </w:r>
    </w:p>
    <w:p>
      <w:pPr>
        <w:pStyle w:val="FirstParagraph"/>
      </w:pPr>
      <w:r>
        <w:t xml:space="preserve">The present invention composes these foundational architectures with new system layers comprising AI-powered Digital Workers for title examination, multi-tier composable rule sets governing title and insurance compliance per jurisdiction, real-time risk underwriting using historical and live data, and hash-anchored audit chains tying every title event to immutable cryptographic proof — enabling a level of automation, transparency, and continuous-coverage assurance not enabled by the prior art alone.</w:t>
      </w:r>
    </w:p>
    <w:bookmarkEnd w:id="97"/>
    <w:bookmarkStart w:id="98" w:name="X5704dbfeda945918f91bc5ae6fe4503124153b6"/>
    <w:p>
      <w:pPr>
        <w:pStyle w:val="Heading3"/>
      </w:pPr>
      <w:r>
        <w:t xml:space="preserve">Cross-Filing Relationship to Co-Pending Applications</w:t>
      </w:r>
    </w:p>
    <w:p>
      <w:pPr>
        <w:pStyle w:val="FirstParagraph"/>
      </w:pPr>
      <w:r>
        <w:t xml:space="preserve">This application USES, but does not separately claim, several architectural components that are the subject of co-pending provisional patent applications filed by the same inventor and applicant on May 25, 2026 (collectively the</w:t>
      </w:r>
      <w:r>
        <w:t xml:space="preserve"> </w:t>
      </w:r>
      <w:r>
        <w:t xml:space="preserve">“May 25 Family”</w:t>
      </w:r>
      <w:r>
        <w:t xml:space="preserve">):</w:t>
      </w:r>
    </w:p>
    <w:p>
      <w:pPr>
        <w:pStyle w:val="Compact"/>
        <w:numPr>
          <w:ilvl w:val="0"/>
          <w:numId w:val="1035"/>
        </w:numPr>
      </w:pPr>
      <w:r>
        <w:t xml:space="preserve">The</w:t>
      </w:r>
      <w:r>
        <w:t xml:space="preserve"> </w:t>
      </w:r>
      <w:r>
        <w:rPr>
          <w:b/>
          <w:bCs/>
        </w:rPr>
        <w:t xml:space="preserve">identity-anchored hash-chain audit trail architecture</w:t>
      </w:r>
      <w:r>
        <w:t xml:space="preserve"> </w:t>
      </w:r>
      <w:r>
        <w:t xml:space="preserve">(hash-on-chain + payload-off-chain split, version-pinned rule-set provenance, chain-agnostic anchoring, authorized hash-keyed retrieval) is the subject of co-pending U.S. Provisional Patent Application No. 64/073,693;</w:t>
      </w:r>
    </w:p>
    <w:p>
      <w:pPr>
        <w:pStyle w:val="Compact"/>
        <w:numPr>
          <w:ilvl w:val="0"/>
          <w:numId w:val="1035"/>
        </w:numPr>
      </w:pPr>
      <w:r>
        <w:t xml:space="preserve">The</w:t>
      </w:r>
      <w:r>
        <w:t xml:space="preserve"> </w:t>
      </w:r>
      <w:r>
        <w:rPr>
          <w:b/>
          <w:bCs/>
        </w:rPr>
        <w:t xml:space="preserve">multi-tier composable rule architecture and Knowledge Capture Pipeline</w:t>
      </w:r>
      <w:r>
        <w:t xml:space="preserve"> </w:t>
      </w:r>
      <w:r>
        <w:t xml:space="preserve">(the five-tier rule composition with platform/vertical/workspace/transaction layers, rule registry, Terminal Worker safety architecture) is the subject of co-pending U.S. Provisional Patent Application No. 64/073,693;</w:t>
      </w:r>
    </w:p>
    <w:p>
      <w:pPr>
        <w:pStyle w:val="Compact"/>
        <w:numPr>
          <w:ilvl w:val="0"/>
          <w:numId w:val="1035"/>
        </w:numPr>
      </w:pPr>
      <w:r>
        <w:t xml:space="preserve">The</w:t>
      </w:r>
      <w:r>
        <w:t xml:space="preserve"> </w:t>
      </w:r>
      <w:r>
        <w:rPr>
          <w:b/>
          <w:bCs/>
        </w:rPr>
        <w:t xml:space="preserve">build-without-code worker authoring pattern</w:t>
      </w:r>
      <w:r>
        <w:t xml:space="preserve"> </w:t>
      </w:r>
      <w:r>
        <w:t xml:space="preserve">(conversational specification generation by non-engineer domain experts) is the subject of co-pending U.S. Provisional Patent Application No. 64/073,693.</w:t>
      </w:r>
    </w:p>
    <w:p>
      <w:pPr>
        <w:pStyle w:val="FirstParagraph"/>
      </w:pPr>
      <w:r>
        <w:t xml:space="preserve">The present invention USES these architectures as building blocks. The novel composition of the present invention is the</w:t>
      </w:r>
      <w:r>
        <w:t xml:space="preserve"> </w:t>
      </w:r>
      <w:r>
        <w:rPr>
          <w:b/>
          <w:bCs/>
        </w:rPr>
        <w:t xml:space="preserve">Title and Property Assurance System</w:t>
      </w:r>
      <w:r>
        <w:t xml:space="preserve"> </w:t>
      </w:r>
      <w:r>
        <w:t xml:space="preserve">— specifically, the application of AI-governed worker layers to continuous-monitoring title underwriting, real-time risk assessment, and insurer integration across multiple asset classes (real estate, vehicles, aircraft, intellectual property, professional credentials, livestock, high-value collectibles). The claim scope here is the assurance system itself; the underlying governance, audit, and authoring infrastructure are separately claimed in the May 25 Family. Claim differentiation across the patent family will be coordinated at nonprovisional conversion time.</w:t>
      </w:r>
    </w:p>
    <w:bookmarkEnd w:id="98"/>
    <w:bookmarkStart w:id="99" w:name="X3110bb923d58562cf33504fa6f85ca084aec73b"/>
    <w:p>
      <w:pPr>
        <w:pStyle w:val="Heading3"/>
      </w:pPr>
      <w:r>
        <w:t xml:space="preserve">Background — Traditional Title Insurance and Property Records</w:t>
      </w:r>
    </w:p>
    <w:p>
      <w:pPr>
        <w:pStyle w:val="FirstParagraph"/>
      </w:pPr>
      <w:r>
        <w:t xml:space="preserve">Title insurance has historically protected property owners and lenders from defects in title, including:</w:t>
      </w:r>
    </w:p>
    <w:p>
      <w:pPr>
        <w:pStyle w:val="Compact"/>
        <w:numPr>
          <w:ilvl w:val="0"/>
          <w:numId w:val="1036"/>
        </w:numPr>
      </w:pPr>
      <w:r>
        <w:t xml:space="preserve">Undiscovered liens, judgments, or encumbrances;</w:t>
      </w:r>
    </w:p>
    <w:p>
      <w:pPr>
        <w:pStyle w:val="Compact"/>
        <w:numPr>
          <w:ilvl w:val="0"/>
          <w:numId w:val="1036"/>
        </w:numPr>
      </w:pPr>
      <w:r>
        <w:t xml:space="preserve">Fraudulent or forged deeds in the chain of title;</w:t>
      </w:r>
    </w:p>
    <w:p>
      <w:pPr>
        <w:pStyle w:val="Compact"/>
        <w:numPr>
          <w:ilvl w:val="0"/>
          <w:numId w:val="1036"/>
        </w:numPr>
      </w:pPr>
      <w:r>
        <w:t xml:space="preserve">Errors in public records;</w:t>
      </w:r>
    </w:p>
    <w:p>
      <w:pPr>
        <w:pStyle w:val="Compact"/>
        <w:numPr>
          <w:ilvl w:val="0"/>
          <w:numId w:val="1036"/>
        </w:numPr>
      </w:pPr>
      <w:r>
        <w:t xml:space="preserve">Improperly executed historical transfers;</w:t>
      </w:r>
    </w:p>
    <w:p>
      <w:pPr>
        <w:pStyle w:val="Compact"/>
        <w:numPr>
          <w:ilvl w:val="0"/>
          <w:numId w:val="1036"/>
        </w:numPr>
      </w:pPr>
      <w:r>
        <w:t xml:space="preserve">Boundary disputes and survey discrepancies.</w:t>
      </w:r>
    </w:p>
    <w:p>
      <w:pPr>
        <w:pStyle w:val="FirstParagraph"/>
      </w:pPr>
      <w:r>
        <w:t xml:space="preserve">The traditional title insurance industry operates through:</w:t>
      </w:r>
    </w:p>
    <w:p>
      <w:pPr>
        <w:pStyle w:val="Compact"/>
        <w:numPr>
          <w:ilvl w:val="0"/>
          <w:numId w:val="1037"/>
        </w:numPr>
      </w:pPr>
      <w:r>
        <w:t xml:space="preserve">Manual title searches by human title examiners reviewing county records, court filings, and tax records;</w:t>
      </w:r>
    </w:p>
    <w:p>
      <w:pPr>
        <w:pStyle w:val="Compact"/>
        <w:numPr>
          <w:ilvl w:val="0"/>
          <w:numId w:val="1037"/>
        </w:numPr>
      </w:pPr>
      <w:r>
        <w:t xml:space="preserve">One-time underwriting at the time of policy issuance;</w:t>
      </w:r>
    </w:p>
    <w:p>
      <w:pPr>
        <w:pStyle w:val="Compact"/>
        <w:numPr>
          <w:ilvl w:val="0"/>
          <w:numId w:val="1037"/>
        </w:numPr>
      </w:pPr>
      <w:r>
        <w:t xml:space="preserve">Static policy issuance covering defects existing at issuance, with limited or no protection against post-issuance events;</w:t>
      </w:r>
    </w:p>
    <w:p>
      <w:pPr>
        <w:pStyle w:val="Compact"/>
        <w:numPr>
          <w:ilvl w:val="0"/>
          <w:numId w:val="1037"/>
        </w:numPr>
      </w:pPr>
      <w:r>
        <w:t xml:space="preserve">Centralized record-keeping by individual title companies, vulnerable to record loss, internal fraud, and operational error;</w:t>
      </w:r>
    </w:p>
    <w:p>
      <w:pPr>
        <w:pStyle w:val="Compact"/>
        <w:numPr>
          <w:ilvl w:val="0"/>
          <w:numId w:val="1037"/>
        </w:numPr>
      </w:pPr>
      <w:r>
        <w:t xml:space="preserve">Slow claims processing requiring document gathering and human adjudication;</w:t>
      </w:r>
    </w:p>
    <w:p>
      <w:pPr>
        <w:pStyle w:val="Compact"/>
        <w:numPr>
          <w:ilvl w:val="0"/>
          <w:numId w:val="1037"/>
        </w:numPr>
      </w:pPr>
      <w:r>
        <w:t xml:space="preserve">Significant cost (typically 0.5%–1.0% of property value as a one-time premium).</w:t>
      </w:r>
    </w:p>
    <w:p>
      <w:pPr>
        <w:pStyle w:val="FirstParagraph"/>
      </w:pPr>
      <w:r>
        <w:t xml:space="preserve">Property insurance covers physical loss or damage but similarly relies on:</w:t>
      </w:r>
    </w:p>
    <w:p>
      <w:pPr>
        <w:pStyle w:val="Compact"/>
        <w:numPr>
          <w:ilvl w:val="0"/>
          <w:numId w:val="1038"/>
        </w:numPr>
      </w:pPr>
      <w:r>
        <w:t xml:space="preserve">Manual claims processing;</w:t>
      </w:r>
    </w:p>
    <w:p>
      <w:pPr>
        <w:pStyle w:val="Compact"/>
        <w:numPr>
          <w:ilvl w:val="0"/>
          <w:numId w:val="1038"/>
        </w:numPr>
      </w:pPr>
      <w:r>
        <w:t xml:space="preserve">Centralized record-keeping with limited audit transparency;</w:t>
      </w:r>
    </w:p>
    <w:p>
      <w:pPr>
        <w:pStyle w:val="Compact"/>
        <w:numPr>
          <w:ilvl w:val="0"/>
          <w:numId w:val="1038"/>
        </w:numPr>
      </w:pPr>
      <w:r>
        <w:t xml:space="preserve">Risk assessment based on snapshot underwriting rather than continuous monitoring;</w:t>
      </w:r>
    </w:p>
    <w:p>
      <w:pPr>
        <w:pStyle w:val="Compact"/>
        <w:numPr>
          <w:ilvl w:val="0"/>
          <w:numId w:val="1038"/>
        </w:numPr>
      </w:pPr>
      <w:r>
        <w:t xml:space="preserve">Disconnection between the insured asset’s title records and the insured asset’s physical/operational records.</w:t>
      </w:r>
    </w:p>
    <w:bookmarkEnd w:id="99"/>
    <w:bookmarkStart w:id="100" w:name="X898e6cce6b3b5f283183a32934865ea510ab1fc"/>
    <w:p>
      <w:pPr>
        <w:pStyle w:val="Heading3"/>
      </w:pPr>
      <w:r>
        <w:t xml:space="preserve">Problems in Existing Title and Property Assurance Systems</w:t>
      </w:r>
    </w:p>
    <w:p>
      <w:pPr>
        <w:numPr>
          <w:ilvl w:val="0"/>
          <w:numId w:val="1039"/>
        </w:numPr>
      </w:pPr>
      <w:r>
        <w:rPr>
          <w:b/>
          <w:bCs/>
        </w:rPr>
        <w:t xml:space="preserve">Centralized record vulnerability.</w:t>
      </w:r>
      <w:r>
        <w:t xml:space="preserve"> </w:t>
      </w:r>
      <w:r>
        <w:t xml:space="preserve">Title records held by individual title companies are vulnerable to data corruption, intentional alteration, and accidental loss. No tamper-evident industry-wide standard exists.</w:t>
      </w:r>
    </w:p>
    <w:p>
      <w:pPr>
        <w:numPr>
          <w:ilvl w:val="0"/>
          <w:numId w:val="1039"/>
        </w:numPr>
      </w:pPr>
      <w:r>
        <w:rPr>
          <w:b/>
          <w:bCs/>
        </w:rPr>
        <w:t xml:space="preserve">Manual examination latency.</w:t>
      </w:r>
      <w:r>
        <w:t xml:space="preserve"> </w:t>
      </w:r>
      <w:r>
        <w:t xml:space="preserve">Human title examination takes days to weeks. In time-sensitive real estate transactions, this is a major source of friction and risk.</w:t>
      </w:r>
    </w:p>
    <w:p>
      <w:pPr>
        <w:numPr>
          <w:ilvl w:val="0"/>
          <w:numId w:val="1039"/>
        </w:numPr>
      </w:pPr>
      <w:r>
        <w:rPr>
          <w:b/>
          <w:bCs/>
        </w:rPr>
        <w:t xml:space="preserve">Snapshot-only underwriting.</w:t>
      </w:r>
      <w:r>
        <w:t xml:space="preserve"> </w:t>
      </w:r>
      <w:r>
        <w:t xml:space="preserve">Traditional title insurance policies underwrite only the state of title at policy issuance. Post-issuance events (new liens, judgments, fraudulent recordings) are either not covered or trigger separate claims with adversarial proceedings.</w:t>
      </w:r>
    </w:p>
    <w:p>
      <w:pPr>
        <w:numPr>
          <w:ilvl w:val="0"/>
          <w:numId w:val="1039"/>
        </w:numPr>
      </w:pPr>
      <w:r>
        <w:rPr>
          <w:b/>
          <w:bCs/>
        </w:rPr>
        <w:t xml:space="preserve">Opaque risk assessment.</w:t>
      </w:r>
      <w:r>
        <w:t xml:space="preserve"> </w:t>
      </w:r>
      <w:r>
        <w:t xml:space="preserve">The factors driving title insurance pricing are largely opaque to consumers, with little transparency into the actual risk profile of a specific property.</w:t>
      </w:r>
    </w:p>
    <w:p>
      <w:pPr>
        <w:numPr>
          <w:ilvl w:val="0"/>
          <w:numId w:val="1039"/>
        </w:numPr>
      </w:pPr>
      <w:r>
        <w:rPr>
          <w:b/>
          <w:bCs/>
        </w:rPr>
        <w:t xml:space="preserve">Disconnection between title and asset operations.</w:t>
      </w:r>
      <w:r>
        <w:t xml:space="preserve"> </w:t>
      </w:r>
      <w:r>
        <w:t xml:space="preserve">Title records are static; asset operational records (maintenance, inspections, insurance claims, regulatory filings) are held in separate systems. A title transfer does not automatically convey the operational history.</w:t>
      </w:r>
    </w:p>
    <w:p>
      <w:pPr>
        <w:numPr>
          <w:ilvl w:val="0"/>
          <w:numId w:val="1039"/>
        </w:numPr>
      </w:pPr>
      <w:r>
        <w:rPr>
          <w:b/>
          <w:bCs/>
        </w:rPr>
        <w:t xml:space="preserve">Cross-jurisdictional friction.</w:t>
      </w:r>
      <w:r>
        <w:t xml:space="preserve"> </w:t>
      </w:r>
      <w:r>
        <w:t xml:space="preserve">Title and property records differ substantially across jurisdictions, requiring per-jurisdiction expertise and reducing the portability of title assurance to multi-jurisdictional asset portfolios.</w:t>
      </w:r>
    </w:p>
    <w:p>
      <w:pPr>
        <w:numPr>
          <w:ilvl w:val="0"/>
          <w:numId w:val="1039"/>
        </w:numPr>
      </w:pPr>
      <w:r>
        <w:rPr>
          <w:b/>
          <w:bCs/>
        </w:rPr>
        <w:t xml:space="preserve">No standard for non-real-estate title assurance.</w:t>
      </w:r>
      <w:r>
        <w:t xml:space="preserve"> </w:t>
      </w:r>
      <w:r>
        <w:t xml:space="preserve">While real estate has a mature title insurance industry, other asset classes (intellectual property, professional credentials, high-value collectibles, vehicles outside DMV scope) lack comparable assurance infrastructure.</w:t>
      </w:r>
    </w:p>
    <w:bookmarkEnd w:id="100"/>
    <w:bookmarkStart w:id="101" w:name="prior-art-limitations-4"/>
    <w:p>
      <w:pPr>
        <w:pStyle w:val="Heading3"/>
      </w:pPr>
      <w:r>
        <w:t xml:space="preserve">Prior Art Limitations</w:t>
      </w:r>
    </w:p>
    <w:p>
      <w:pPr>
        <w:pStyle w:val="FirstParagraph"/>
      </w:pPr>
      <w:r>
        <w:t xml:space="preserve">The cited prior art (18/398,973 and the December 2024 logbook filing) establishes the foundational parent-child DTC + logbook primitive architecture and the package-transfer semantics. However, those disclosures do not enable:</w:t>
      </w:r>
    </w:p>
    <w:p>
      <w:pPr>
        <w:pStyle w:val="Compact"/>
        <w:numPr>
          <w:ilvl w:val="0"/>
          <w:numId w:val="1040"/>
        </w:numPr>
      </w:pPr>
      <w:r>
        <w:t xml:space="preserve">Multi-tier composable rule sets governing what constitutes valid title transfer per jurisdiction, layered with platform-level safety invariants and per-asset-class regulatory rules;</w:t>
      </w:r>
    </w:p>
    <w:p>
      <w:pPr>
        <w:pStyle w:val="Compact"/>
        <w:numPr>
          <w:ilvl w:val="0"/>
          <w:numId w:val="1040"/>
        </w:numPr>
      </w:pPr>
      <w:r>
        <w:t xml:space="preserve">AI-powered Digital Workers performing title examination, risk underwriting, and continuous monitoring against the parent-child DTC records;</w:t>
      </w:r>
    </w:p>
    <w:p>
      <w:pPr>
        <w:pStyle w:val="Compact"/>
        <w:numPr>
          <w:ilvl w:val="0"/>
          <w:numId w:val="1040"/>
        </w:numPr>
      </w:pPr>
      <w:r>
        <w:t xml:space="preserve">Real-time dynamic underwriting wherein the title assurance pricing and coverage adjust based on continuously-updated risk signals (new liens, regulatory changes, counterparty status changes);</w:t>
      </w:r>
    </w:p>
    <w:p>
      <w:pPr>
        <w:pStyle w:val="Compact"/>
        <w:numPr>
          <w:ilvl w:val="0"/>
          <w:numId w:val="1040"/>
        </w:numPr>
      </w:pPr>
      <w:r>
        <w:t xml:space="preserve">Hash-anchored audit chains tying every title event to immutable proof-of-existence with pinned rule-set versions;</w:t>
      </w:r>
    </w:p>
    <w:p>
      <w:pPr>
        <w:pStyle w:val="Compact"/>
        <w:numPr>
          <w:ilvl w:val="0"/>
          <w:numId w:val="1040"/>
        </w:numPr>
      </w:pPr>
      <w:r>
        <w:t xml:space="preserve">Insurance integration wherein insurer access to the parent-child DTC record set provides real-time risk visibility and accelerated claims processing;</w:t>
      </w:r>
    </w:p>
    <w:p>
      <w:pPr>
        <w:pStyle w:val="Compact"/>
        <w:numPr>
          <w:ilvl w:val="0"/>
          <w:numId w:val="1040"/>
        </w:numPr>
      </w:pPr>
      <w:r>
        <w:t xml:space="preserve">Cross-asset-class application of title assurance to non-real-estate assets including intellectual property, professional credentials, high-value collectibles, and live-tracked assets such as aircraft and watercraft.</w:t>
      </w:r>
    </w:p>
    <w:p>
      <w:pPr>
        <w:pStyle w:val="FirstParagraph"/>
      </w:pPr>
      <w:r>
        <w:t xml:space="preserve">The present invention provides these capabilities through novel system composition.</w:t>
      </w:r>
    </w:p>
    <w:p>
      <w:r>
        <w:pict>
          <v:rect style="width:0;height:1.5pt" o:hralign="center" o:hrstd="t" o:hr="t"/>
        </w:pict>
      </w:r>
    </w:p>
    <w:bookmarkEnd w:id="101"/>
    <w:bookmarkEnd w:id="102"/>
    <w:bookmarkStart w:id="103" w:name="summary-of-the-invention-4"/>
    <w:p>
      <w:pPr>
        <w:pStyle w:val="Heading2"/>
      </w:pPr>
      <w:r>
        <w:t xml:space="preserve">SUMMARY OF THE INVENTION</w:t>
      </w:r>
    </w:p>
    <w:p>
      <w:pPr>
        <w:pStyle w:val="FirstParagraph"/>
      </w:pPr>
      <w:r>
        <w:t xml:space="preserve">The present invention provides a Title and Property Assurance System (the</w:t>
      </w:r>
      <w:r>
        <w:t xml:space="preserve"> </w:t>
      </w:r>
      <w:r>
        <w:t xml:space="preserve">“System”</w:t>
      </w:r>
      <w:r>
        <w:t xml:space="preserve">) comprising:</w:t>
      </w:r>
    </w:p>
    <w:p>
      <w:pPr>
        <w:numPr>
          <w:ilvl w:val="0"/>
          <w:numId w:val="1041"/>
        </w:numPr>
      </w:pPr>
      <w:r>
        <w:rPr>
          <w:b/>
          <w:bCs/>
        </w:rPr>
        <w:t xml:space="preserve">A parent-child Digital Title Certificate record structure</w:t>
      </w:r>
      <w:r>
        <w:t xml:space="preserve"> </w:t>
      </w:r>
      <w:r>
        <w:t xml:space="preserve">as the canonical title and provenance record, wherein each asset (property, vehicle, intellectual property, professional credential, etc.) is represented by a parent DTC and every title-affecting event generates a child logbook entry cryptographically bound to the parent.</w:t>
      </w:r>
    </w:p>
    <w:p>
      <w:pPr>
        <w:numPr>
          <w:ilvl w:val="0"/>
          <w:numId w:val="1041"/>
        </w:numPr>
      </w:pPr>
      <w:r>
        <w:rPr>
          <w:b/>
          <w:bCs/>
        </w:rPr>
        <w:t xml:space="preserve">AI-powered Digital Workers</w:t>
      </w:r>
      <w:r>
        <w:t xml:space="preserve"> </w:t>
      </w:r>
      <w:r>
        <w:t xml:space="preserve">performing title examination, risk underwriting, lien detection, regulatory compliance checking, and continuous monitoring, each Worker operating within a multi-tier composable rule set governing what is permissible per jurisdiction and per asset class.</w:t>
      </w:r>
    </w:p>
    <w:p>
      <w:pPr>
        <w:numPr>
          <w:ilvl w:val="0"/>
          <w:numId w:val="1041"/>
        </w:numPr>
      </w:pPr>
      <w:r>
        <w:rPr>
          <w:b/>
          <w:bCs/>
        </w:rPr>
        <w:t xml:space="preserve">Multi-tier composable rule sets</w:t>
      </w:r>
      <w:r>
        <w:t xml:space="preserve"> </w:t>
      </w:r>
      <w:r>
        <w:t xml:space="preserve">combining (a) platform-wide safety invariants, (b) per-asset-class rules (e.g., real estate title transfer rules, vehicle DMV rules, IP USPTO rules), (c) per-jurisdiction regulatory rules, and (d) per-policy customization, with conflict resolution prioritizing the most-restrictive rule, and with the composed rule-set version pinned to each title assurance policy.</w:t>
      </w:r>
    </w:p>
    <w:p>
      <w:pPr>
        <w:numPr>
          <w:ilvl w:val="0"/>
          <w:numId w:val="1041"/>
        </w:numPr>
      </w:pPr>
      <w:r>
        <w:rPr>
          <w:b/>
          <w:bCs/>
        </w:rPr>
        <w:t xml:space="preserve">A hash-anchored audit chain</w:t>
      </w:r>
      <w:r>
        <w:t xml:space="preserve"> </w:t>
      </w:r>
      <w:r>
        <w:t xml:space="preserve">wherein every title event is hashed, signed by the platform, and anchored to a public blockchain (chain-agnostic; preferred embodiment Base) with the on-chain hash providing tamper-evidence and the off-chain event payload providing audit detail.</w:t>
      </w:r>
    </w:p>
    <w:p>
      <w:pPr>
        <w:numPr>
          <w:ilvl w:val="0"/>
          <w:numId w:val="1041"/>
        </w:numPr>
      </w:pPr>
      <w:r>
        <w:rPr>
          <w:b/>
          <w:bCs/>
        </w:rPr>
        <w:t xml:space="preserve">Real-time dynamic underwriting</w:t>
      </w:r>
      <w:r>
        <w:t xml:space="preserve"> </w:t>
      </w:r>
      <w:r>
        <w:t xml:space="preserve">wherein the System continuously monitors the parent-child DTC record set, external regulatory feeds, and counterparty status to adjust title assurance coverage, pricing, and risk flags in real time, rather than relying on snapshot underwriting at policy issuance.</w:t>
      </w:r>
    </w:p>
    <w:p>
      <w:pPr>
        <w:numPr>
          <w:ilvl w:val="0"/>
          <w:numId w:val="1041"/>
        </w:numPr>
      </w:pPr>
      <w:r>
        <w:rPr>
          <w:b/>
          <w:bCs/>
        </w:rPr>
        <w:t xml:space="preserve">Decentralized title assurance and property insurance integration</w:t>
      </w:r>
      <w:r>
        <w:t xml:space="preserve">, wherein insurers gain real-time visibility into the parent-child DTC record set, enabling accelerated underwriting, accurate per-asset risk pricing, and rapid claims processing with cryptographic proof.</w:t>
      </w:r>
    </w:p>
    <w:p>
      <w:pPr>
        <w:numPr>
          <w:ilvl w:val="0"/>
          <w:numId w:val="1041"/>
        </w:numPr>
      </w:pPr>
      <w:r>
        <w:rPr>
          <w:b/>
          <w:bCs/>
        </w:rPr>
        <w:t xml:space="preserve">Cross-asset-class applicability</w:t>
      </w:r>
      <w:r>
        <w:t xml:space="preserve"> </w:t>
      </w:r>
      <w:r>
        <w:t xml:space="preserve">extending title assurance beyond real estate to vehicles, aircraft, watercraft, intellectual property, professional credentials, high-value collectibles, livestock, and other asset classes where provenance and ownership clarity create value.</w:t>
      </w:r>
    </w:p>
    <w:p>
      <w:pPr>
        <w:numPr>
          <w:ilvl w:val="0"/>
          <w:numId w:val="1041"/>
        </w:numPr>
      </w:pPr>
      <w:r>
        <w:rPr>
          <w:b/>
          <w:bCs/>
        </w:rPr>
        <w:t xml:space="preserve">Smart contract enforcement</w:t>
      </w:r>
      <w:r>
        <w:t xml:space="preserve"> </w:t>
      </w:r>
      <w:r>
        <w:t xml:space="preserve">of title transfer conditions wherein DTC transfers occur only when the rule set evaluation passes, signer approvals are collected, and the pre-publish constraint check confirms no violations.</w:t>
      </w:r>
    </w:p>
    <w:p>
      <w:pPr>
        <w:pStyle w:val="FirstParagraph"/>
      </w:pPr>
      <w:r>
        <w:t xml:space="preserve">The System provides:</w:t>
      </w:r>
    </w:p>
    <w:p>
      <w:pPr>
        <w:pStyle w:val="Compact"/>
        <w:numPr>
          <w:ilvl w:val="0"/>
          <w:numId w:val="1042"/>
        </w:numPr>
      </w:pPr>
      <w:r>
        <w:rPr>
          <w:b/>
          <w:bCs/>
        </w:rPr>
        <w:t xml:space="preserve">Immutable title history</w:t>
      </w:r>
      <w:r>
        <w:t xml:space="preserve"> </w:t>
      </w:r>
      <w:r>
        <w:t xml:space="preserve">through the parent-child DTC architecture, preserving the full ownership and event history with cryptographic tamper-evidence;</w:t>
      </w:r>
    </w:p>
    <w:p>
      <w:pPr>
        <w:pStyle w:val="Compact"/>
        <w:numPr>
          <w:ilvl w:val="0"/>
          <w:numId w:val="1042"/>
        </w:numPr>
      </w:pPr>
      <w:r>
        <w:rPr>
          <w:b/>
          <w:bCs/>
        </w:rPr>
        <w:t xml:space="preserve">Real-time assurance</w:t>
      </w:r>
      <w:r>
        <w:t xml:space="preserve"> </w:t>
      </w:r>
      <w:r>
        <w:t xml:space="preserve">through continuous monitoring rather than snapshot underwriting;</w:t>
      </w:r>
    </w:p>
    <w:p>
      <w:pPr>
        <w:pStyle w:val="Compact"/>
        <w:numPr>
          <w:ilvl w:val="0"/>
          <w:numId w:val="1042"/>
        </w:numPr>
      </w:pPr>
      <w:r>
        <w:rPr>
          <w:b/>
          <w:bCs/>
        </w:rPr>
        <w:t xml:space="preserve">Cross-jurisdictional and cross-asset portability</w:t>
      </w:r>
      <w:r>
        <w:t xml:space="preserve"> </w:t>
      </w:r>
      <w:r>
        <w:t xml:space="preserve">through the chain-agnostic architecture and composable rule sets;</w:t>
      </w:r>
    </w:p>
    <w:p>
      <w:pPr>
        <w:pStyle w:val="Compact"/>
        <w:numPr>
          <w:ilvl w:val="0"/>
          <w:numId w:val="1042"/>
        </w:numPr>
      </w:pPr>
      <w:r>
        <w:rPr>
          <w:b/>
          <w:bCs/>
        </w:rPr>
        <w:t xml:space="preserve">Defensive auditability</w:t>
      </w:r>
      <w:r>
        <w:t xml:space="preserve"> </w:t>
      </w:r>
      <w:r>
        <w:t xml:space="preserve">through the hash-anchored audit chain with pinned rule-set versions, enabling post-hoc verification by regulators, insurers, courts, or counterparties;</w:t>
      </w:r>
    </w:p>
    <w:p>
      <w:pPr>
        <w:pStyle w:val="Compact"/>
        <w:numPr>
          <w:ilvl w:val="0"/>
          <w:numId w:val="1042"/>
        </w:numPr>
      </w:pPr>
      <w:r>
        <w:rPr>
          <w:b/>
          <w:bCs/>
        </w:rPr>
        <w:t xml:space="preserve">Reduced cost</w:t>
      </w:r>
      <w:r>
        <w:t xml:space="preserve"> </w:t>
      </w:r>
      <w:r>
        <w:t xml:space="preserve">through automation of the title examination and underwriting processes that traditionally require human title examiners and underwriters.</w:t>
      </w:r>
    </w:p>
    <w:p>
      <w:r>
        <w:pict>
          <v:rect style="width:0;height:1.5pt" o:hralign="center" o:hrstd="t" o:hr="t"/>
        </w:pict>
      </w:r>
    </w:p>
    <w:bookmarkEnd w:id="103"/>
    <w:bookmarkStart w:id="109" w:name="detailed-description-of-embodiments-4"/>
    <w:p>
      <w:pPr>
        <w:pStyle w:val="Heading2"/>
      </w:pPr>
      <w:r>
        <w:t xml:space="preserve">DETAILED DESCRIPTION OF EMBODIMENTS</w:t>
      </w:r>
    </w:p>
    <w:bookmarkStart w:id="104" w:name="system-architecture-overview-1"/>
    <w:p>
      <w:pPr>
        <w:pStyle w:val="Heading3"/>
      </w:pPr>
      <w:r>
        <w:t xml:space="preserve">System Architecture Overview</w:t>
      </w:r>
    </w:p>
    <w:p>
      <w:pPr>
        <w:pStyle w:val="FirstParagraph"/>
      </w:pPr>
      <w:r>
        <w:t xml:space="preserve">The System comprises a distributed architecture with the following principal components:</w:t>
      </w:r>
    </w:p>
    <w:p>
      <w:pPr>
        <w:pStyle w:val="BodyText"/>
      </w:pPr>
      <w:r>
        <w:rPr>
          <w:b/>
          <w:bCs/>
        </w:rPr>
        <w:t xml:space="preserve">1. The DTC Record Layer.</w:t>
      </w:r>
      <w:r>
        <w:t xml:space="preserve"> </w:t>
      </w:r>
      <w:r>
        <w:t xml:space="preserve">Each insured or assured asset is represented by a parent Digital Title Certificate stored on-chain (chain-agnostic; preferred embodiment Base) and off-chain in append-only storage. The parent DTC includes:</w:t>
      </w:r>
      <w:r>
        <w:t xml:space="preserve"> </w:t>
      </w:r>
      <w:r>
        <w:t xml:space="preserve">- The asset class (real estate, vehicle, IP, credential, collectible, etc.);</w:t>
      </w:r>
      <w:r>
        <w:t xml:space="preserve"> </w:t>
      </w:r>
      <w:r>
        <w:t xml:space="preserve">- Asset identifiers (legal description, VIN, registration number, etc.);</w:t>
      </w:r>
      <w:r>
        <w:t xml:space="preserve"> </w:t>
      </w:r>
      <w:r>
        <w:t xml:space="preserve">- Current owner(s) with cryptographic ownership proof;</w:t>
      </w:r>
      <w:r>
        <w:t xml:space="preserve"> </w:t>
      </w:r>
      <w:r>
        <w:t xml:space="preserve">- Reference to the active title assurance policy (if any);</w:t>
      </w:r>
      <w:r>
        <w:t xml:space="preserve"> </w:t>
      </w:r>
      <w:r>
        <w:t xml:space="preserve">- Reference to the pinned rule-set version under which the DTC operates.</w:t>
      </w:r>
    </w:p>
    <w:p>
      <w:pPr>
        <w:pStyle w:val="BodyText"/>
      </w:pPr>
      <w:r>
        <w:t xml:space="preserve">Child logbook entries minted under the parent DTC capture every title-affecting event:</w:t>
      </w:r>
      <w:r>
        <w:t xml:space="preserve"> </w:t>
      </w:r>
      <w:r>
        <w:t xml:space="preserve">- Ownership transfers;</w:t>
      </w:r>
      <w:r>
        <w:t xml:space="preserve"> </w:t>
      </w:r>
      <w:r>
        <w:t xml:space="preserve">- Lien recordings and releases;</w:t>
      </w:r>
      <w:r>
        <w:t xml:space="preserve"> </w:t>
      </w:r>
      <w:r>
        <w:t xml:space="preserve">- Encumbrance changes;</w:t>
      </w:r>
      <w:r>
        <w:t xml:space="preserve"> </w:t>
      </w:r>
      <w:r>
        <w:t xml:space="preserve">- Tax assessments;</w:t>
      </w:r>
      <w:r>
        <w:t xml:space="preserve"> </w:t>
      </w:r>
      <w:r>
        <w:t xml:space="preserve">- Insurance claims affecting title;</w:t>
      </w:r>
      <w:r>
        <w:t xml:space="preserve"> </w:t>
      </w:r>
      <w:r>
        <w:t xml:space="preserve">- Litigation affecting title;</w:t>
      </w:r>
      <w:r>
        <w:t xml:space="preserve"> </w:t>
      </w:r>
      <w:r>
        <w:t xml:space="preserve">- Regulatory actions;</w:t>
      </w:r>
      <w:r>
        <w:t xml:space="preserve"> </w:t>
      </w:r>
      <w:r>
        <w:t xml:space="preserve">- Inspections and condition reports (for assets where condition affects title status, e.g., aircraft, vehicles).</w:t>
      </w:r>
    </w:p>
    <w:p>
      <w:pPr>
        <w:pStyle w:val="BodyText"/>
      </w:pPr>
      <w:r>
        <w:t xml:space="preserve">Per the package-transfer semantics established in the prior art, ownership transfer of the parent DTC automatically conveys all child logbook entries to the new owner, ensuring the complete title history follows the asset.</w:t>
      </w:r>
    </w:p>
    <w:p>
      <w:pPr>
        <w:pStyle w:val="BodyText"/>
      </w:pPr>
      <w:r>
        <w:rPr>
          <w:b/>
          <w:bCs/>
        </w:rPr>
        <w:t xml:space="preserve">2. The Worker Composition Layer.</w:t>
      </w:r>
      <w:r>
        <w:t xml:space="preserve"> </w:t>
      </w:r>
      <w:r>
        <w:t xml:space="preserve">A suite of AI-powered Digital Workers each implementing a specific title assurance function:</w:t>
      </w:r>
    </w:p>
    <w:p>
      <w:pPr>
        <w:numPr>
          <w:ilvl w:val="0"/>
          <w:numId w:val="1043"/>
        </w:numPr>
      </w:pPr>
      <w:r>
        <w:rPr>
          <w:i/>
          <w:iCs/>
        </w:rPr>
        <w:t xml:space="preserve">Title Examination Worker:</w:t>
      </w:r>
      <w:r>
        <w:t xml:space="preserve"> </w:t>
      </w:r>
      <w:r>
        <w:t xml:space="preserve">Performs the equivalent of a traditional title search. Examines the parent DTC’s child logbook entries, cross-references against county records (where integrations exist), court filings, tax records, and regulatory databases. Produces a structured title report flagging any defects.</w:t>
      </w:r>
    </w:p>
    <w:p>
      <w:pPr>
        <w:numPr>
          <w:ilvl w:val="0"/>
          <w:numId w:val="1043"/>
        </w:numPr>
      </w:pPr>
      <w:r>
        <w:rPr>
          <w:i/>
          <w:iCs/>
        </w:rPr>
        <w:t xml:space="preserve">Lien Detection Worker:</w:t>
      </w:r>
      <w:r>
        <w:t xml:space="preserve"> </w:t>
      </w:r>
      <w:r>
        <w:t xml:space="preserve">Continuously monitors for new lien filings against the asset. Pulls from UCC filing databases, county recorder feeds, court judgment databases, and other lien sources. Posts child logbook entries when liens are detected.</w:t>
      </w:r>
    </w:p>
    <w:p>
      <w:pPr>
        <w:numPr>
          <w:ilvl w:val="0"/>
          <w:numId w:val="1043"/>
        </w:numPr>
      </w:pPr>
      <w:r>
        <w:rPr>
          <w:i/>
          <w:iCs/>
        </w:rPr>
        <w:t xml:space="preserve">Regulatory Compliance Worker:</w:t>
      </w:r>
      <w:r>
        <w:t xml:space="preserve"> </w:t>
      </w:r>
      <w:r>
        <w:t xml:space="preserve">Per asset class and jurisdiction, monitors regulatory changes that affect title status. For real estate: zoning changes, easement actions, eminent domain proceedings. For vehicles: regulatory recalls affecting title. For IP: USPTO/Copyright Office actions.</w:t>
      </w:r>
    </w:p>
    <w:p>
      <w:pPr>
        <w:numPr>
          <w:ilvl w:val="0"/>
          <w:numId w:val="1043"/>
        </w:numPr>
      </w:pPr>
      <w:r>
        <w:rPr>
          <w:i/>
          <w:iCs/>
        </w:rPr>
        <w:t xml:space="preserve">Risk Underwriting Worker:</w:t>
      </w:r>
      <w:r>
        <w:t xml:space="preserve"> </w:t>
      </w:r>
      <w:r>
        <w:t xml:space="preserve">Synthesizes the title examination output, lien status, regulatory status, counterparty status, and historical data to produce a real-time risk score and recommended coverage/pricing for title assurance policies.</w:t>
      </w:r>
    </w:p>
    <w:p>
      <w:pPr>
        <w:numPr>
          <w:ilvl w:val="0"/>
          <w:numId w:val="1043"/>
        </w:numPr>
      </w:pPr>
      <w:r>
        <w:rPr>
          <w:i/>
          <w:iCs/>
        </w:rPr>
        <w:t xml:space="preserve">Claims Processing Worker:</w:t>
      </w:r>
      <w:r>
        <w:t xml:space="preserve"> </w:t>
      </w:r>
      <w:r>
        <w:t xml:space="preserve">When a title assurance claim is filed, analyzes the audit chain, identifies the triggering event, evaluates against the policy’s pinned rule-set, and produces a recommended claim resolution with full documentation.</w:t>
      </w:r>
    </w:p>
    <w:p>
      <w:pPr>
        <w:numPr>
          <w:ilvl w:val="0"/>
          <w:numId w:val="1043"/>
        </w:numPr>
      </w:pPr>
      <w:r>
        <w:rPr>
          <w:i/>
          <w:iCs/>
        </w:rPr>
        <w:t xml:space="preserve">Insurance Integration Worker:</w:t>
      </w:r>
      <w:r>
        <w:t xml:space="preserve"> </w:t>
      </w:r>
      <w:r>
        <w:t xml:space="preserve">For property insurance (covering physical loss), correlates the title record with the insured-asset operational record to enable accurate underwriting, real-time risk monitoring, and accelerated claims processing.</w:t>
      </w:r>
    </w:p>
    <w:p>
      <w:pPr>
        <w:pStyle w:val="FirstParagraph"/>
      </w:pPr>
      <w:r>
        <w:t xml:space="preserve">Each Worker operates strictly within the bounds of its assigned RAAS rule set. Outputs that would violate platform safety rules, asset-class regulations, or jurisdictional constraints are blocked at the worker layer.</w:t>
      </w:r>
    </w:p>
    <w:p>
      <w:pPr>
        <w:pStyle w:val="BodyText"/>
      </w:pPr>
      <w:r>
        <w:rPr>
          <w:b/>
          <w:bCs/>
        </w:rPr>
        <w:t xml:space="preserve">3. The RAAS Rule Composition Layer.</w:t>
      </w:r>
      <w:r>
        <w:t xml:space="preserve"> </w:t>
      </w:r>
      <w:r>
        <w:t xml:space="preserve">A multi-tier rule architecture:</w:t>
      </w:r>
    </w:p>
    <w:p>
      <w:pPr>
        <w:numPr>
          <w:ilvl w:val="0"/>
          <w:numId w:val="1044"/>
        </w:numPr>
      </w:pPr>
      <w:r>
        <w:rPr>
          <w:i/>
          <w:iCs/>
        </w:rPr>
        <w:t xml:space="preserve">Tier 0 — Platform Safety:</w:t>
      </w:r>
      <w:r>
        <w:t xml:space="preserve"> </w:t>
      </w:r>
      <w:r>
        <w:t xml:space="preserve">Immutable platform-wide invariants (e.g.,</w:t>
      </w:r>
      <w:r>
        <w:t xml:space="preserve"> </w:t>
      </w:r>
      <w:r>
        <w:t xml:space="preserve">“no Worker may impersonate a licensed title officer or attorney,”</w:t>
      </w:r>
      <w:r>
        <w:t xml:space="preserve"> </w:t>
      </w:r>
      <w:r>
        <w:t xml:space="preserve">“all worker outputs carry disclosures identifying them as AI-generated,”</w:t>
      </w:r>
      <w:r>
        <w:t xml:space="preserve"> </w:t>
      </w:r>
      <w:r>
        <w:t xml:space="preserve">“append-only audit trail,”</w:t>
      </w:r>
      <w:r>
        <w:t xml:space="preserve"> </w:t>
      </w:r>
      <w:r>
        <w:t xml:space="preserve">“no PII exposure outside authorized access scopes”</w:t>
      </w:r>
      <w:r>
        <w:t xml:space="preserve">).</w:t>
      </w:r>
    </w:p>
    <w:p>
      <w:pPr>
        <w:numPr>
          <w:ilvl w:val="0"/>
          <w:numId w:val="1044"/>
        </w:numPr>
      </w:pPr>
      <w:r>
        <w:rPr>
          <w:i/>
          <w:iCs/>
        </w:rPr>
        <w:t xml:space="preserve">Tier 1 — Platform Operations:</w:t>
      </w:r>
      <w:r>
        <w:t xml:space="preserve"> </w:t>
      </w:r>
      <w:r>
        <w:t xml:space="preserve">Platform-wide operational rules (e.g., subscription enforcement, role-based access control, capability gating).</w:t>
      </w:r>
    </w:p>
    <w:p>
      <w:pPr>
        <w:numPr>
          <w:ilvl w:val="0"/>
          <w:numId w:val="1044"/>
        </w:numPr>
      </w:pPr>
      <w:r>
        <w:rPr>
          <w:i/>
          <w:iCs/>
        </w:rPr>
        <w:t xml:space="preserve">Tier 2 — Asset Class Baselines:</w:t>
      </w:r>
      <w:r>
        <w:t xml:space="preserve"> </w:t>
      </w:r>
      <w:r>
        <w:t xml:space="preserve">Per-asset-class rules:</w:t>
      </w:r>
    </w:p>
    <w:p>
      <w:pPr>
        <w:pStyle w:val="Compact"/>
        <w:numPr>
          <w:ilvl w:val="1"/>
          <w:numId w:val="1045"/>
        </w:numPr>
      </w:pPr>
      <w:r>
        <w:rPr>
          <w:i/>
          <w:iCs/>
        </w:rPr>
        <w:t xml:space="preserve">Real estate:</w:t>
      </w:r>
      <w:r>
        <w:t xml:space="preserve"> </w:t>
      </w:r>
      <w:r>
        <w:t xml:space="preserve">Title transfer requirements per US state, common-law variations, federal liens, property tax obligations.</w:t>
      </w:r>
    </w:p>
    <w:p>
      <w:pPr>
        <w:pStyle w:val="Compact"/>
        <w:numPr>
          <w:ilvl w:val="1"/>
          <w:numId w:val="1045"/>
        </w:numPr>
      </w:pPr>
      <w:r>
        <w:rPr>
          <w:i/>
          <w:iCs/>
        </w:rPr>
        <w:t xml:space="preserve">Vehicles:</w:t>
      </w:r>
      <w:r>
        <w:t xml:space="preserve"> </w:t>
      </w:r>
      <w:r>
        <w:t xml:space="preserve">DMV transfer rules per state, federal recall obligations, salvage title rules, lien recordation.</w:t>
      </w:r>
    </w:p>
    <w:p>
      <w:pPr>
        <w:pStyle w:val="Compact"/>
        <w:numPr>
          <w:ilvl w:val="1"/>
          <w:numId w:val="1045"/>
        </w:numPr>
      </w:pPr>
      <w:r>
        <w:rPr>
          <w:i/>
          <w:iCs/>
        </w:rPr>
        <w:t xml:space="preserve">Aircraft:</w:t>
      </w:r>
      <w:r>
        <w:t xml:space="preserve"> </w:t>
      </w:r>
      <w:r>
        <w:t xml:space="preserve">FAA aircraft title registration, IRS aircraft tax, international registration.</w:t>
      </w:r>
    </w:p>
    <w:p>
      <w:pPr>
        <w:pStyle w:val="Compact"/>
        <w:numPr>
          <w:ilvl w:val="1"/>
          <w:numId w:val="1045"/>
        </w:numPr>
      </w:pPr>
      <w:r>
        <w:rPr>
          <w:i/>
          <w:iCs/>
        </w:rPr>
        <w:t xml:space="preserve">Intellectual property:</w:t>
      </w:r>
      <w:r>
        <w:t xml:space="preserve"> </w:t>
      </w:r>
      <w:r>
        <w:t xml:space="preserve">USPTO patent and trademark transfers, Copyright Office assignments, foreign registry coordination.</w:t>
      </w:r>
    </w:p>
    <w:p>
      <w:pPr>
        <w:pStyle w:val="Compact"/>
        <w:numPr>
          <w:ilvl w:val="1"/>
          <w:numId w:val="1045"/>
        </w:numPr>
      </w:pPr>
      <w:r>
        <w:rPr>
          <w:i/>
          <w:iCs/>
        </w:rPr>
        <w:t xml:space="preserve">Professional credentials:</w:t>
      </w:r>
      <w:r>
        <w:t xml:space="preserve"> </w:t>
      </w:r>
      <w:r>
        <w:t xml:space="preserve">State licensing boards, federal credentialing bodies, continuing education requirements affecting credential status.</w:t>
      </w:r>
    </w:p>
    <w:p>
      <w:pPr>
        <w:pStyle w:val="Compact"/>
        <w:numPr>
          <w:ilvl w:val="1"/>
          <w:numId w:val="1045"/>
        </w:numPr>
      </w:pPr>
      <w:r>
        <w:rPr>
          <w:i/>
          <w:iCs/>
        </w:rPr>
        <w:t xml:space="preserve">Livestock:</w:t>
      </w:r>
      <w:r>
        <w:t xml:space="preserve"> </w:t>
      </w:r>
      <w:r>
        <w:t xml:space="preserve">USDA traceability requirements, breed registry rules, veterinary certification.</w:t>
      </w:r>
    </w:p>
    <w:p>
      <w:pPr>
        <w:pStyle w:val="Compact"/>
        <w:numPr>
          <w:ilvl w:val="1"/>
          <w:numId w:val="1045"/>
        </w:numPr>
      </w:pPr>
      <w:r>
        <w:rPr>
          <w:i/>
          <w:iCs/>
        </w:rPr>
        <w:t xml:space="preserve">Collectibles:</w:t>
      </w:r>
      <w:r>
        <w:t xml:space="preserve"> </w:t>
      </w:r>
      <w:r>
        <w:t xml:space="preserve">Provenance documentation standards (e.g., Art Loss Register equivalent for high-value art).</w:t>
      </w:r>
    </w:p>
    <w:p>
      <w:pPr>
        <w:numPr>
          <w:ilvl w:val="0"/>
          <w:numId w:val="1044"/>
        </w:numPr>
      </w:pPr>
      <w:r>
        <w:rPr>
          <w:i/>
          <w:iCs/>
        </w:rPr>
        <w:t xml:space="preserve">Tier 3 — Per-Jurisdiction Overlays:</w:t>
      </w:r>
      <w:r>
        <w:t xml:space="preserve"> </w:t>
      </w:r>
      <w:r>
        <w:t xml:space="preserve">Jurisdiction-specific overrides layered onto asset-class baselines. For example, California real estate has Proposition 13 implications not present in other states.</w:t>
      </w:r>
    </w:p>
    <w:p>
      <w:pPr>
        <w:numPr>
          <w:ilvl w:val="0"/>
          <w:numId w:val="1044"/>
        </w:numPr>
      </w:pPr>
      <w:r>
        <w:rPr>
          <w:i/>
          <w:iCs/>
        </w:rPr>
        <w:t xml:space="preserve">Tier 4 — Per-Policy Customization:</w:t>
      </w:r>
      <w:r>
        <w:t xml:space="preserve"> </w:t>
      </w:r>
      <w:r>
        <w:t xml:space="preserve">Policy-specific rules (e.g., higher coverage amounts, custom exclusions, additional named insureds).</w:t>
      </w:r>
    </w:p>
    <w:p>
      <w:pPr>
        <w:pStyle w:val="FirstParagraph"/>
      </w:pPr>
      <w:r>
        <w:t xml:space="preserve">Conflict resolution prioritizes the most-restrictive rule. Rule-set composition is performed at policy initiation and the composed rule-set version is pinned to the policy.</w:t>
      </w:r>
    </w:p>
    <w:p>
      <w:pPr>
        <w:pStyle w:val="BodyText"/>
      </w:pPr>
      <w:r>
        <w:rPr>
          <w:b/>
          <w:bCs/>
        </w:rPr>
        <w:t xml:space="preserve">4. The Audit Chain.</w:t>
      </w:r>
      <w:r>
        <w:t xml:space="preserve"> </w:t>
      </w:r>
      <w:r>
        <w:t xml:space="preserve">Identical to the audit chain described in Filing A (AI-Integrated Escrow Locker): every title event generates a hash anchored on-chain, with the full payload retained off-chain for confidentiality with authorized audit access.</w:t>
      </w:r>
    </w:p>
    <w:p>
      <w:pPr>
        <w:pStyle w:val="BodyText"/>
      </w:pPr>
      <w:r>
        <w:rPr>
          <w:b/>
          <w:bCs/>
        </w:rPr>
        <w:t xml:space="preserve">5. The Real-Time Underwriting Engine.</w:t>
      </w:r>
      <w:r>
        <w:t xml:space="preserve"> </w:t>
      </w:r>
      <w:r>
        <w:t xml:space="preserve">The System departs from traditional snapshot underwriting through continuous monitoring:</w:t>
      </w:r>
    </w:p>
    <w:p>
      <w:pPr>
        <w:pStyle w:val="Compact"/>
        <w:numPr>
          <w:ilvl w:val="0"/>
          <w:numId w:val="1046"/>
        </w:numPr>
      </w:pPr>
      <w:r>
        <w:t xml:space="preserve">The Lien Detection Worker continuously polls UCC, county recorder, and judgment feeds;</w:t>
      </w:r>
    </w:p>
    <w:p>
      <w:pPr>
        <w:pStyle w:val="Compact"/>
        <w:numPr>
          <w:ilvl w:val="0"/>
          <w:numId w:val="1046"/>
        </w:numPr>
      </w:pPr>
      <w:r>
        <w:t xml:space="preserve">The Regulatory Compliance Worker continuously monitors regulatory databases for changes affecting the insured asset class and jurisdiction;</w:t>
      </w:r>
    </w:p>
    <w:p>
      <w:pPr>
        <w:pStyle w:val="Compact"/>
        <w:numPr>
          <w:ilvl w:val="0"/>
          <w:numId w:val="1046"/>
        </w:numPr>
      </w:pPr>
      <w:r>
        <w:t xml:space="preserve">The Risk Underwriting Worker re-evaluates the risk score whenever any input changes;</w:t>
      </w:r>
    </w:p>
    <w:p>
      <w:pPr>
        <w:pStyle w:val="Compact"/>
        <w:numPr>
          <w:ilvl w:val="0"/>
          <w:numId w:val="1046"/>
        </w:numPr>
      </w:pPr>
      <w:r>
        <w:t xml:space="preserve">When the risk score materially changes, the System notifies the insured, the insurer, and updates the policy reserves accordingly.</w:t>
      </w:r>
    </w:p>
    <w:p>
      <w:pPr>
        <w:pStyle w:val="FirstParagraph"/>
      </w:pPr>
      <w:r>
        <w:t xml:space="preserve">This continuous-monitoring approach is fundamentally different from traditional title insurance, which underwrites only at policy issuance and treats post-issuance events as separate claims.</w:t>
      </w:r>
    </w:p>
    <w:p>
      <w:pPr>
        <w:pStyle w:val="BodyText"/>
      </w:pPr>
      <w:r>
        <w:rPr>
          <w:b/>
          <w:bCs/>
        </w:rPr>
        <w:t xml:space="preserve">6. The Insurance Integration Layer.</w:t>
      </w:r>
      <w:r>
        <w:t xml:space="preserve"> </w:t>
      </w:r>
      <w:r>
        <w:t xml:space="preserve">Insurers gain authenticated access to the parent-child DTC record set for assets they insure:</w:t>
      </w:r>
    </w:p>
    <w:p>
      <w:pPr>
        <w:pStyle w:val="Compact"/>
        <w:numPr>
          <w:ilvl w:val="0"/>
          <w:numId w:val="1047"/>
        </w:numPr>
      </w:pPr>
      <w:r>
        <w:rPr>
          <w:i/>
          <w:iCs/>
        </w:rPr>
        <w:t xml:space="preserve">Read access</w:t>
      </w:r>
      <w:r>
        <w:t xml:space="preserve"> </w:t>
      </w:r>
      <w:r>
        <w:t xml:space="preserve">to the full title record, including the audit chain, enables real-time risk monitoring without polling intermediaries;</w:t>
      </w:r>
    </w:p>
    <w:p>
      <w:pPr>
        <w:pStyle w:val="Compact"/>
        <w:numPr>
          <w:ilvl w:val="0"/>
          <w:numId w:val="1047"/>
        </w:numPr>
      </w:pPr>
      <w:r>
        <w:rPr>
          <w:i/>
          <w:iCs/>
        </w:rPr>
        <w:t xml:space="preserve">Write access</w:t>
      </w:r>
      <w:r>
        <w:t xml:space="preserve"> </w:t>
      </w:r>
      <w:r>
        <w:t xml:space="preserve">to the child logbook for insurance-relevant events (claim filings, payouts, coverage changes) ensures the title record reflects insurance state;</w:t>
      </w:r>
    </w:p>
    <w:p>
      <w:pPr>
        <w:pStyle w:val="Compact"/>
        <w:numPr>
          <w:ilvl w:val="0"/>
          <w:numId w:val="1047"/>
        </w:numPr>
      </w:pPr>
      <w:r>
        <w:rPr>
          <w:i/>
          <w:iCs/>
        </w:rPr>
        <w:t xml:space="preserve">Smart contract integration</w:t>
      </w:r>
      <w:r>
        <w:t xml:space="preserve"> </w:t>
      </w:r>
      <w:r>
        <w:t xml:space="preserve">allows automated coverage extension, premium adjustments, or coverage suspension based on rule-set evaluation.</w:t>
      </w:r>
    </w:p>
    <w:bookmarkEnd w:id="104"/>
    <w:bookmarkStart w:id="105" w:name="title-assurance-lifecycle-walkthrough"/>
    <w:p>
      <w:pPr>
        <w:pStyle w:val="Heading3"/>
      </w:pPr>
      <w:r>
        <w:t xml:space="preserve">Title Assurance Lifecycle Walkthrough</w:t>
      </w:r>
    </w:p>
    <w:p>
      <w:pPr>
        <w:pStyle w:val="FirstParagraph"/>
      </w:pPr>
      <w:r>
        <w:t xml:space="preserve">Representative flow for a residential real estate title assurance policy:</w:t>
      </w:r>
    </w:p>
    <w:p>
      <w:pPr>
        <w:numPr>
          <w:ilvl w:val="0"/>
          <w:numId w:val="1048"/>
        </w:numPr>
      </w:pPr>
      <w:r>
        <w:rPr>
          <w:b/>
          <w:bCs/>
        </w:rPr>
        <w:t xml:space="preserve">Policy initiation.</w:t>
      </w:r>
      <w:r>
        <w:t xml:space="preserve"> </w:t>
      </w:r>
      <w:r>
        <w:t xml:space="preserve">A property buyer (or lender) requests title assurance on a parcel identified by legal description. The System creates (or locates) the parent DTC for the property.</w:t>
      </w:r>
    </w:p>
    <w:p>
      <w:pPr>
        <w:numPr>
          <w:ilvl w:val="0"/>
          <w:numId w:val="1048"/>
        </w:numPr>
      </w:pPr>
      <w:r>
        <w:rPr>
          <w:b/>
          <w:bCs/>
        </w:rPr>
        <w:t xml:space="preserve">Rule-set composition and pinning.</w:t>
      </w:r>
      <w:r>
        <w:t xml:space="preserve"> </w:t>
      </w:r>
      <w:r>
        <w:t xml:space="preserve">The System composes the applicable rule set: Tier 0 platform safety + Tier 1 operations + Tier 2 real-estate baseline + Tier 3 jurisdiction (the property’s state and county) + Tier 4 policy customization. The composed version is pinned to the policy.</w:t>
      </w:r>
    </w:p>
    <w:p>
      <w:pPr>
        <w:numPr>
          <w:ilvl w:val="0"/>
          <w:numId w:val="1048"/>
        </w:numPr>
      </w:pPr>
      <w:r>
        <w:rPr>
          <w:b/>
          <w:bCs/>
        </w:rPr>
        <w:t xml:space="preserve">Title examination.</w:t>
      </w:r>
      <w:r>
        <w:t xml:space="preserve"> </w:t>
      </w:r>
      <w:r>
        <w:t xml:space="preserve">The Title Examination Worker runs a comprehensive title search against the parent DTC’s child logbook, county records, court filings, and regulatory databases. Findings are persisted as child logbook entries.</w:t>
      </w:r>
    </w:p>
    <w:p>
      <w:pPr>
        <w:numPr>
          <w:ilvl w:val="0"/>
          <w:numId w:val="1048"/>
        </w:numPr>
      </w:pPr>
      <w:r>
        <w:rPr>
          <w:b/>
          <w:bCs/>
        </w:rPr>
        <w:t xml:space="preserve">Lien and encumbrance discovery.</w:t>
      </w:r>
      <w:r>
        <w:t xml:space="preserve"> </w:t>
      </w:r>
      <w:r>
        <w:t xml:space="preserve">The Lien Detection Worker examines all lien sources and posts any findings as child logbook entries. Outstanding liens may either require resolution before policy issuance or be carved out as policy exclusions.</w:t>
      </w:r>
    </w:p>
    <w:p>
      <w:pPr>
        <w:numPr>
          <w:ilvl w:val="0"/>
          <w:numId w:val="1048"/>
        </w:numPr>
      </w:pPr>
      <w:r>
        <w:rPr>
          <w:b/>
          <w:bCs/>
        </w:rPr>
        <w:t xml:space="preserve">Regulatory compliance check.</w:t>
      </w:r>
      <w:r>
        <w:t xml:space="preserve"> </w:t>
      </w:r>
      <w:r>
        <w:t xml:space="preserve">The Regulatory Compliance Worker evaluates current zoning, easements, environmental restrictions, and other regulatory factors. Findings are persisted.</w:t>
      </w:r>
    </w:p>
    <w:p>
      <w:pPr>
        <w:numPr>
          <w:ilvl w:val="0"/>
          <w:numId w:val="1048"/>
        </w:numPr>
      </w:pPr>
      <w:r>
        <w:rPr>
          <w:b/>
          <w:bCs/>
        </w:rPr>
        <w:t xml:space="preserve">Risk underwriting.</w:t>
      </w:r>
      <w:r>
        <w:t xml:space="preserve"> </w:t>
      </w:r>
      <w:r>
        <w:t xml:space="preserve">The Risk Underwriting Worker synthesizes all the above into a structured risk profile and recommends coverage amount, premium, exclusions, and any conditions.</w:t>
      </w:r>
    </w:p>
    <w:p>
      <w:pPr>
        <w:numPr>
          <w:ilvl w:val="0"/>
          <w:numId w:val="1048"/>
        </w:numPr>
      </w:pPr>
      <w:r>
        <w:rPr>
          <w:b/>
          <w:bCs/>
        </w:rPr>
        <w:t xml:space="preserve">Policy issuance.</w:t>
      </w:r>
      <w:r>
        <w:t xml:space="preserve"> </w:t>
      </w:r>
      <w:r>
        <w:t xml:space="preserve">Upon buyer (or lender) acceptance, the policy is issued as a child logbook entry on the parent DTC with the pinned rule-set version. The policy includes the smart-contract-encoded coverage terms and pricing.</w:t>
      </w:r>
    </w:p>
    <w:p>
      <w:pPr>
        <w:numPr>
          <w:ilvl w:val="0"/>
          <w:numId w:val="1048"/>
        </w:numPr>
      </w:pPr>
      <w:r>
        <w:rPr>
          <w:b/>
          <w:bCs/>
        </w:rPr>
        <w:t xml:space="preserve">Continuous monitoring.</w:t>
      </w:r>
      <w:r>
        <w:t xml:space="preserve"> </w:t>
      </w:r>
      <w:r>
        <w:t xml:space="preserve">Throughout the policy lifetime, the Lien Detection Worker, Regulatory Compliance Worker, and Risk Underwriting Worker continuously evaluate the parent-child record set against current rules. Material changes trigger notifications and may adjust coverage or pricing per policy terms.</w:t>
      </w:r>
    </w:p>
    <w:p>
      <w:pPr>
        <w:numPr>
          <w:ilvl w:val="0"/>
          <w:numId w:val="1048"/>
        </w:numPr>
      </w:pPr>
      <w:r>
        <w:rPr>
          <w:b/>
          <w:bCs/>
        </w:rPr>
        <w:t xml:space="preserve">Claim filing (if applicable).</w:t>
      </w:r>
      <w:r>
        <w:t xml:space="preserve"> </w:t>
      </w:r>
      <w:r>
        <w:t xml:space="preserve">If a covered title defect surfaces, a claim is filed as a child logbook entry. The Claims Processing Worker evaluates the claim against the policy’s pinned rule-set, identifies the triggering event in the audit chain, and produces a recommended resolution.</w:t>
      </w:r>
    </w:p>
    <w:p>
      <w:pPr>
        <w:numPr>
          <w:ilvl w:val="0"/>
          <w:numId w:val="1048"/>
        </w:numPr>
      </w:pPr>
      <w:r>
        <w:rPr>
          <w:b/>
          <w:bCs/>
        </w:rPr>
        <w:t xml:space="preserve">Claim resolution.</w:t>
      </w:r>
      <w:r>
        <w:t xml:space="preserve"> </w:t>
      </w:r>
      <w:r>
        <w:t xml:space="preserve">Resolution (payment, defense, etc.) is executed per policy terms. All claim activity persists as child logbook entries with audit-chain anchors.</w:t>
      </w:r>
    </w:p>
    <w:bookmarkEnd w:id="105"/>
    <w:bookmarkStart w:id="106" w:name="application-to-property-insurance"/>
    <w:p>
      <w:pPr>
        <w:pStyle w:val="Heading3"/>
      </w:pPr>
      <w:r>
        <w:t xml:space="preserve">Application to Property Insurance</w:t>
      </w:r>
    </w:p>
    <w:p>
      <w:pPr>
        <w:pStyle w:val="FirstParagraph"/>
      </w:pPr>
      <w:r>
        <w:t xml:space="preserve">While title insurance addresses defects in ownership, property insurance addresses physical loss. The System extends to property insurance through:</w:t>
      </w:r>
    </w:p>
    <w:p>
      <w:pPr>
        <w:numPr>
          <w:ilvl w:val="0"/>
          <w:numId w:val="1049"/>
        </w:numPr>
      </w:pPr>
      <w:r>
        <w:rPr>
          <w:i/>
          <w:iCs/>
        </w:rPr>
        <w:t xml:space="preserve">Asset condition logbook entries.</w:t>
      </w:r>
      <w:r>
        <w:t xml:space="preserve"> </w:t>
      </w:r>
      <w:r>
        <w:t xml:space="preserve">For assets where condition matters (vehicles, aircraft, equipment), the parent DTC’s child logbook captures inspection reports, maintenance records, accident history, etc.</w:t>
      </w:r>
    </w:p>
    <w:p>
      <w:pPr>
        <w:numPr>
          <w:ilvl w:val="0"/>
          <w:numId w:val="1049"/>
        </w:numPr>
      </w:pPr>
      <w:r>
        <w:rPr>
          <w:i/>
          <w:iCs/>
        </w:rPr>
        <w:t xml:space="preserve">Real-time condition monitoring.</w:t>
      </w:r>
      <w:r>
        <w:t xml:space="preserve"> </w:t>
      </w:r>
      <w:r>
        <w:t xml:space="preserve">Where IoT or telematics is available (modern vehicles, commercial aircraft, smart-building real estate), continuous condition data flows into the child logbook.</w:t>
      </w:r>
    </w:p>
    <w:p>
      <w:pPr>
        <w:numPr>
          <w:ilvl w:val="0"/>
          <w:numId w:val="1049"/>
        </w:numPr>
      </w:pPr>
      <w:r>
        <w:rPr>
          <w:i/>
          <w:iCs/>
        </w:rPr>
        <w:t xml:space="preserve">Underwriting based on the full record.</w:t>
      </w:r>
      <w:r>
        <w:t xml:space="preserve"> </w:t>
      </w:r>
      <w:r>
        <w:t xml:space="preserve">Insurers can underwrite property policies using the complete documented history rather than snapshot owner-declared condition.</w:t>
      </w:r>
    </w:p>
    <w:p>
      <w:pPr>
        <w:numPr>
          <w:ilvl w:val="0"/>
          <w:numId w:val="1049"/>
        </w:numPr>
      </w:pPr>
      <w:r>
        <w:rPr>
          <w:i/>
          <w:iCs/>
        </w:rPr>
        <w:t xml:space="preserve">Accelerated claims.</w:t>
      </w:r>
      <w:r>
        <w:t xml:space="preserve"> </w:t>
      </w:r>
      <w:r>
        <w:t xml:space="preserve">When a claim is filed, the insurer has immediate access to the full condition history, accelerating adjustment and reducing fraud.</w:t>
      </w:r>
    </w:p>
    <w:bookmarkEnd w:id="106"/>
    <w:bookmarkStart w:id="107" w:name="cross-asset-class-applications"/>
    <w:p>
      <w:pPr>
        <w:pStyle w:val="Heading3"/>
      </w:pPr>
      <w:r>
        <w:t xml:space="preserve">Cross-Asset-Class Applications</w:t>
      </w:r>
    </w:p>
    <w:p>
      <w:pPr>
        <w:pStyle w:val="FirstParagraph"/>
      </w:pPr>
      <w:r>
        <w:t xml:space="preserve">The System contemplates application beyond real estate:</w:t>
      </w:r>
    </w:p>
    <w:p>
      <w:pPr>
        <w:pStyle w:val="BodyText"/>
      </w:pPr>
      <w:r>
        <w:rPr>
          <w:b/>
          <w:bCs/>
        </w:rPr>
        <w:t xml:space="preserve">Intellectual property assurance.</w:t>
      </w:r>
      <w:r>
        <w:t xml:space="preserve"> </w:t>
      </w:r>
      <w:r>
        <w:t xml:space="preserve">Parent DTC represents a patent, trademark, or copyright. Child logbook entries capture filings, assignments, licensing events, and challenges. Insurance against IP defects (prior art, fraudulent assignment) becomes feasible through the same architecture.</w:t>
      </w:r>
    </w:p>
    <w:p>
      <w:pPr>
        <w:pStyle w:val="BodyText"/>
      </w:pPr>
      <w:r>
        <w:rPr>
          <w:b/>
          <w:bCs/>
        </w:rPr>
        <w:t xml:space="preserve">Professional credential assurance.</w:t>
      </w:r>
      <w:r>
        <w:t xml:space="preserve"> </w:t>
      </w:r>
      <w:r>
        <w:t xml:space="preserve">Parent DTC represents a license or certification. Child logbook entries capture continuing education, disciplinary actions, renewals, and verifications. Employers and the public can verify credential status in real time.</w:t>
      </w:r>
    </w:p>
    <w:p>
      <w:pPr>
        <w:pStyle w:val="BodyText"/>
      </w:pPr>
      <w:r>
        <w:rPr>
          <w:b/>
          <w:bCs/>
        </w:rPr>
        <w:t xml:space="preserve">Aircraft and watercraft title assurance.</w:t>
      </w:r>
      <w:r>
        <w:t xml:space="preserve"> </w:t>
      </w:r>
      <w:r>
        <w:t xml:space="preserve">Parent DTC represents the registered aircraft or vessel. Child logbook entries capture FAA Form 8050 filings, maintenance, inspections, accident history, and ownership transfers. The same title assurance + insurance integration model applies.</w:t>
      </w:r>
    </w:p>
    <w:p>
      <w:pPr>
        <w:pStyle w:val="BodyText"/>
      </w:pPr>
      <w:r>
        <w:rPr>
          <w:b/>
          <w:bCs/>
        </w:rPr>
        <w:t xml:space="preserve">Livestock and agricultural assets.</w:t>
      </w:r>
      <w:r>
        <w:t xml:space="preserve"> </w:t>
      </w:r>
      <w:r>
        <w:t xml:space="preserve">Parent DTC represents an animal or breeding line. Child logbook entries capture pedigree, vaccination, health checks, ownership transfers. Insurance against pedigree fraud or undisclosed health issues becomes feasible.</w:t>
      </w:r>
    </w:p>
    <w:p>
      <w:pPr>
        <w:pStyle w:val="BodyText"/>
      </w:pPr>
      <w:r>
        <w:rPr>
          <w:b/>
          <w:bCs/>
        </w:rPr>
        <w:t xml:space="preserve">High-value collectibles.</w:t>
      </w:r>
      <w:r>
        <w:t xml:space="preserve"> </w:t>
      </w:r>
      <w:r>
        <w:t xml:space="preserve">Parent DTC represents an artwork, vehicle, jewelry, or other collectible. Child logbook entries capture provenance, restorations, exhibitions, appraisals. Insurance against authenticity defects or provenance fraud becomes feasible.</w:t>
      </w:r>
    </w:p>
    <w:bookmarkEnd w:id="107"/>
    <w:bookmarkStart w:id="108" w:name="variations-and-embodiments-2"/>
    <w:p>
      <w:pPr>
        <w:pStyle w:val="Heading3"/>
      </w:pPr>
      <w:r>
        <w:t xml:space="preserve">Variations and Embodiments</w:t>
      </w:r>
    </w:p>
    <w:p>
      <w:pPr>
        <w:pStyle w:val="FirstParagraph"/>
      </w:pPr>
      <w:r>
        <w:rPr>
          <w:b/>
          <w:bCs/>
        </w:rPr>
        <w:t xml:space="preserve">Chain-agnostic operation.</w:t>
      </w:r>
      <w:r>
        <w:t xml:space="preserve"> </w:t>
      </w:r>
      <w:r>
        <w:t xml:space="preserve">Preferred embodiment anchors to Base for cost-efficiency. Alternative embodiments anchor to Ethereum, Polygon, Solana, Avalanche, or other public blockchains. The architectural pattern is chain-independent.</w:t>
      </w:r>
    </w:p>
    <w:p>
      <w:pPr>
        <w:pStyle w:val="BodyText"/>
      </w:pPr>
      <w:r>
        <w:rPr>
          <w:b/>
          <w:bCs/>
        </w:rPr>
        <w:t xml:space="preserve">Insurer ecosystem.</w:t>
      </w:r>
      <w:r>
        <w:t xml:space="preserve"> </w:t>
      </w:r>
      <w:r>
        <w:t xml:space="preserve">The System contemplates multiple competing insurers underwriting policies against the same DTC architecture, with the platform providing the trust layer and the insurers competing on pricing, terms, and claims service. This is analogous to the Lloyd’s of London syndicate model with the DTC architecture serving as the shared infrastructure.</w:t>
      </w:r>
    </w:p>
    <w:p>
      <w:pPr>
        <w:pStyle w:val="BodyText"/>
      </w:pPr>
      <w:r>
        <w:rPr>
          <w:b/>
          <w:bCs/>
        </w:rPr>
        <w:t xml:space="preserve">Government registry integration.</w:t>
      </w:r>
      <w:r>
        <w:t xml:space="preserve"> </w:t>
      </w:r>
      <w:r>
        <w:t xml:space="preserve">Where local registries provide structured data feeds (real estate recorder offices, DMV systems, USPTO databases), the System integrates directly. Where registries are paper-based or non-machine-readable, the System operates with manually-validated data plus AI-assisted document ingestion.</w:t>
      </w:r>
    </w:p>
    <w:p>
      <w:pPr>
        <w:pStyle w:val="BodyText"/>
      </w:pPr>
      <w:r>
        <w:rPr>
          <w:b/>
          <w:bCs/>
        </w:rPr>
        <w:t xml:space="preserve">Hybrid traditional + DTC policies.</w:t>
      </w:r>
      <w:r>
        <w:t xml:space="preserve"> </w:t>
      </w:r>
      <w:r>
        <w:t xml:space="preserve">During transition, insurers may issue hybrid policies that incorporate DTC-based assurance for new transactions while maintaining traditional title infrastructure for legacy parcels with incomplete DTC histories.</w:t>
      </w:r>
    </w:p>
    <w:p>
      <w:r>
        <w:pict>
          <v:rect style="width:0;height:1.5pt" o:hralign="center" o:hrstd="t" o:hr="t"/>
        </w:pict>
      </w:r>
    </w:p>
    <w:bookmarkEnd w:id="108"/>
    <w:bookmarkEnd w:id="109"/>
    <w:bookmarkStart w:id="110" w:name="brief-description-of-the-drawings-4"/>
    <w:p>
      <w:pPr>
        <w:pStyle w:val="Heading2"/>
      </w:pPr>
      <w:r>
        <w:t xml:space="preserve">BRIEF DESCRIPTION OF THE DRAWINGS</w:t>
      </w:r>
    </w:p>
    <w:p>
      <w:pPr>
        <w:pStyle w:val="FirstParagraph"/>
      </w:pPr>
      <w:r>
        <w:t xml:space="preserve">(To be supplied with formal drawings prior to filing.)</w:t>
      </w:r>
    </w:p>
    <w:p>
      <w:pPr>
        <w:pStyle w:val="BodyText"/>
      </w:pPr>
      <w:r>
        <w:rPr>
          <w:b/>
          <w:bCs/>
        </w:rPr>
        <w:t xml:space="preserve">Figure 1:</w:t>
      </w:r>
      <w:r>
        <w:t xml:space="preserve"> </w:t>
      </w:r>
      <w:r>
        <w:t xml:space="preserve">System architecture overview showing the DTC Record Layer, Worker Composition Layer, RAAS Rule Composition Layer, Audit Chain, Real-Time Underwriting Engine, and Insurance Integration Layer.</w:t>
      </w:r>
    </w:p>
    <w:p>
      <w:pPr>
        <w:pStyle w:val="BodyText"/>
      </w:pPr>
      <w:r>
        <w:rPr>
          <w:b/>
          <w:bCs/>
        </w:rPr>
        <w:t xml:space="preserve">Figure 2:</w:t>
      </w:r>
      <w:r>
        <w:t xml:space="preserve"> </w:t>
      </w:r>
      <w:r>
        <w:t xml:space="preserve">Parent-child DTC structure for a real estate parcel showing the parent DTC and example child logbook entries (deeds, liens, tax assessments, insurance events, regulatory actions).</w:t>
      </w:r>
    </w:p>
    <w:p>
      <w:pPr>
        <w:pStyle w:val="BodyText"/>
      </w:pPr>
      <w:r>
        <w:rPr>
          <w:b/>
          <w:bCs/>
        </w:rPr>
        <w:t xml:space="preserve">Figure 3:</w:t>
      </w:r>
      <w:r>
        <w:t xml:space="preserve"> </w:t>
      </w:r>
      <w:r>
        <w:t xml:space="preserve">Multi-tier RAAS rule composition diagram showing Tiers 0-4 for a representative real estate title assurance policy.</w:t>
      </w:r>
    </w:p>
    <w:p>
      <w:pPr>
        <w:pStyle w:val="BodyText"/>
      </w:pPr>
      <w:r>
        <w:rPr>
          <w:b/>
          <w:bCs/>
        </w:rPr>
        <w:t xml:space="preserve">Figure 4:</w:t>
      </w:r>
      <w:r>
        <w:t xml:space="preserve"> </w:t>
      </w:r>
      <w:r>
        <w:t xml:space="preserve">Title assurance lifecycle flow diagram showing the ten stages from policy initiation through claim resolution.</w:t>
      </w:r>
    </w:p>
    <w:p>
      <w:pPr>
        <w:pStyle w:val="BodyText"/>
      </w:pPr>
      <w:r>
        <w:rPr>
          <w:b/>
          <w:bCs/>
        </w:rPr>
        <w:t xml:space="preserve">Figure 5:</w:t>
      </w:r>
      <w:r>
        <w:t xml:space="preserve"> </w:t>
      </w:r>
      <w:r>
        <w:t xml:space="preserve">Cross-asset-class application diagram showing how the same parent-child DTC + Worker + Rule architecture applies to real estate, vehicles, aircraft, intellectual property, professional credentials, and collectibles.</w:t>
      </w:r>
    </w:p>
    <w:p>
      <w:pPr>
        <w:pStyle w:val="BodyText"/>
      </w:pPr>
      <w:r>
        <w:rPr>
          <w:b/>
          <w:bCs/>
        </w:rPr>
        <w:t xml:space="preserve">Figure 6:</w:t>
      </w:r>
      <w:r>
        <w:t xml:space="preserve"> </w:t>
      </w:r>
      <w:r>
        <w:t xml:space="preserve">Real-time underwriting flow showing continuous monitoring of lien feeds, regulatory feeds, and counterparty status with risk score updates.</w:t>
      </w:r>
    </w:p>
    <w:p>
      <w:pPr>
        <w:pStyle w:val="BodyText"/>
      </w:pPr>
      <w:r>
        <w:rPr>
          <w:b/>
          <w:bCs/>
        </w:rPr>
        <w:t xml:space="preserve">Figure 7:</w:t>
      </w:r>
      <w:r>
        <w:t xml:space="preserve"> </w:t>
      </w:r>
      <w:r>
        <w:t xml:space="preserve">Insurance integration architecture showing insurer authenticated access to the DTC record set with read access for monitoring and write access for insurance events.</w:t>
      </w:r>
    </w:p>
    <w:p>
      <w:r>
        <w:pict>
          <v:rect style="width:0;height:1.5pt" o:hralign="center" o:hrstd="t" o:hr="t"/>
        </w:pict>
      </w:r>
    </w:p>
    <w:bookmarkEnd w:id="110"/>
    <w:bookmarkStart w:id="111" w:name="claims-4"/>
    <w:p>
      <w:pPr>
        <w:pStyle w:val="Heading2"/>
      </w:pPr>
      <w:r>
        <w:t xml:space="preserve">CLAIMS</w:t>
      </w:r>
    </w:p>
    <w:p>
      <w:pPr>
        <w:pStyle w:val="FirstParagraph"/>
      </w:pPr>
      <w:r>
        <w:t xml:space="preserve">(Provisional claims; non-limiting.)</w:t>
      </w:r>
    </w:p>
    <w:p>
      <w:pPr>
        <w:pStyle w:val="BodyText"/>
      </w:pPr>
      <w:r>
        <w:rPr>
          <w:b/>
          <w:bCs/>
        </w:rPr>
        <w:t xml:space="preserve">Claim 1.</w:t>
      </w:r>
      <w:r>
        <w:t xml:space="preserve"> </w:t>
      </w:r>
      <w:r>
        <w:t xml:space="preserve">A computer-implemented system for title and property assurance, the system comprising:</w:t>
      </w:r>
      <w:r>
        <w:t xml:space="preserve"> </w:t>
      </w:r>
      <w:r>
        <w:t xml:space="preserve">(a) a parent-child Digital Title Certificate record structure stored on a blockchain wherein a parent record represents an asset and child records cryptographically bound to the parent represent title-affecting events;</w:t>
      </w:r>
      <w:r>
        <w:t xml:space="preserve"> </w:t>
      </w:r>
      <w:r>
        <w:t xml:space="preserve">(b) one or more artificial-intelligence-powered services performing title examination, lien detection, regulatory compliance checking, risk underwriting, and claims processing against the parent-child record set;</w:t>
      </w:r>
      <w:r>
        <w:t xml:space="preserve"> </w:t>
      </w:r>
      <w:r>
        <w:t xml:space="preserve">(c) a multi-tier composable rule set comprising platform-level rules, asset-class-level rules, jurisdiction-level rules, and per-policy rules, with conflict resolution prioritizing the most-restrictive rule and with the composed rule-set version pinned to each policy;</w:t>
      </w:r>
      <w:r>
        <w:t xml:space="preserve"> </w:t>
      </w:r>
      <w:r>
        <w:t xml:space="preserve">(d) a cryptographic audit chain wherein title events are hashed, signed, and anchored to a public blockchain while the underlying payload is retained off-chain;</w:t>
      </w:r>
      <w:r>
        <w:t xml:space="preserve"> </w:t>
      </w:r>
      <w:r>
        <w:t xml:space="preserve">(e) a real-time underwriting engine continuously monitoring the parent-child record set and external feeds to adjust title assurance coverage and pricing dynamically; and</w:t>
      </w:r>
      <w:r>
        <w:t xml:space="preserve"> </w:t>
      </w:r>
      <w:r>
        <w:t xml:space="preserve">(f) an insurance integration layer providing authenticated access to the parent-child record set for participating insurers.</w:t>
      </w:r>
    </w:p>
    <w:p>
      <w:pPr>
        <w:pStyle w:val="BodyText"/>
      </w:pPr>
      <w:r>
        <w:rPr>
          <w:b/>
          <w:bCs/>
        </w:rPr>
        <w:t xml:space="preserve">Claim 2.</w:t>
      </w:r>
      <w:r>
        <w:t xml:space="preserve"> </w:t>
      </w:r>
      <w:r>
        <w:t xml:space="preserve">The system of Claim 1, applied to real estate parcels wherein the parent record represents the parcel and child records capture deeds, liens, tax assessments, regulatory actions, and insurance events.</w:t>
      </w:r>
    </w:p>
    <w:p>
      <w:pPr>
        <w:pStyle w:val="BodyText"/>
      </w:pPr>
      <w:r>
        <w:rPr>
          <w:b/>
          <w:bCs/>
        </w:rPr>
        <w:t xml:space="preserve">Claim 3.</w:t>
      </w:r>
      <w:r>
        <w:t xml:space="preserve"> </w:t>
      </w:r>
      <w:r>
        <w:t xml:space="preserve">The system of Claim 1, applied to vehicles wherein the parent record represents the vehicle and child records capture maintenance, accidents, ownership transfers, and DMV interactions.</w:t>
      </w:r>
    </w:p>
    <w:p>
      <w:pPr>
        <w:pStyle w:val="BodyText"/>
      </w:pPr>
      <w:r>
        <w:rPr>
          <w:b/>
          <w:bCs/>
        </w:rPr>
        <w:t xml:space="preserve">Claim 4.</w:t>
      </w:r>
      <w:r>
        <w:t xml:space="preserve"> </w:t>
      </w:r>
      <w:r>
        <w:t xml:space="preserve">The system of Claim 1, applied to aircraft wherein the parent record represents the aircraft and child records capture FAA registration, maintenance, inspections, accident history, and ownership transfers.</w:t>
      </w:r>
    </w:p>
    <w:p>
      <w:pPr>
        <w:pStyle w:val="BodyText"/>
      </w:pPr>
      <w:r>
        <w:rPr>
          <w:b/>
          <w:bCs/>
        </w:rPr>
        <w:t xml:space="preserve">Claim 5.</w:t>
      </w:r>
      <w:r>
        <w:t xml:space="preserve"> </w:t>
      </w:r>
      <w:r>
        <w:t xml:space="preserve">The system of Claim 1, applied to intellectual property wherein the parent record represents a patent, trademark, or copyright, and child records capture filings, assignments, licensing events, and challenges.</w:t>
      </w:r>
    </w:p>
    <w:p>
      <w:pPr>
        <w:pStyle w:val="BodyText"/>
      </w:pPr>
      <w:r>
        <w:rPr>
          <w:b/>
          <w:bCs/>
        </w:rPr>
        <w:t xml:space="preserve">Claim 6.</w:t>
      </w:r>
      <w:r>
        <w:t xml:space="preserve"> </w:t>
      </w:r>
      <w:r>
        <w:t xml:space="preserve">The system of Claim 1, applied to professional credentials wherein the parent record represents a license or certification and child records capture continuing education, disciplinary actions, renewals, and verifications.</w:t>
      </w:r>
    </w:p>
    <w:p>
      <w:pPr>
        <w:pStyle w:val="BodyText"/>
      </w:pPr>
      <w:r>
        <w:rPr>
          <w:b/>
          <w:bCs/>
        </w:rPr>
        <w:t xml:space="preserve">Claim 7.</w:t>
      </w:r>
      <w:r>
        <w:t xml:space="preserve"> </w:t>
      </w:r>
      <w:r>
        <w:t xml:space="preserve">The system of Claim 1, applied to high-value collectibles wherein the parent record represents an artwork, vehicle, jewelry, or other collectible and child records capture provenance, restorations, exhibitions, and appraisals.</w:t>
      </w:r>
    </w:p>
    <w:p>
      <w:pPr>
        <w:pStyle w:val="BodyText"/>
      </w:pPr>
      <w:r>
        <w:rPr>
          <w:b/>
          <w:bCs/>
        </w:rPr>
        <w:t xml:space="preserve">Claim 8.</w:t>
      </w:r>
      <w:r>
        <w:t xml:space="preserve"> </w:t>
      </w:r>
      <w:r>
        <w:t xml:space="preserve">A method for issuing a continuously-monitored title assurance policy, the method comprising:</w:t>
      </w:r>
      <w:r>
        <w:t xml:space="preserve"> </w:t>
      </w:r>
      <w:r>
        <w:t xml:space="preserve">(a) composing a rule set from platform-level, asset-class-level, jurisdiction-level, and per-policy rules and pinning the composed version to the policy;</w:t>
      </w:r>
      <w:r>
        <w:t xml:space="preserve"> </w:t>
      </w:r>
      <w:r>
        <w:t xml:space="preserve">(b) performing initial title examination through an artificial-intelligence-powered service operating within the pinned rule set;</w:t>
      </w:r>
      <w:r>
        <w:t xml:space="preserve"> </w:t>
      </w:r>
      <w:r>
        <w:t xml:space="preserve">(c) issuing the policy as a child record on the asset’s parent Digital Title Certificate with smart-contract-encoded coverage terms;</w:t>
      </w:r>
      <w:r>
        <w:t xml:space="preserve"> </w:t>
      </w:r>
      <w:r>
        <w:t xml:space="preserve">(d) continuously monitoring the parent-child record set and external feeds for events affecting the policy;</w:t>
      </w:r>
      <w:r>
        <w:t xml:space="preserve"> </w:t>
      </w:r>
      <w:r>
        <w:t xml:space="preserve">(e) dynamically adjusting policy coverage, pricing, or risk flags when monitored events trigger rule-set evaluation; and</w:t>
      </w:r>
      <w:r>
        <w:t xml:space="preserve"> </w:t>
      </w:r>
      <w:r>
        <w:t xml:space="preserve">(f) anchoring each policy event to a cryptographic audit chain.</w:t>
      </w:r>
    </w:p>
    <w:p>
      <w:pPr>
        <w:pStyle w:val="BodyText"/>
      </w:pPr>
      <w:r>
        <w:rPr>
          <w:b/>
          <w:bCs/>
        </w:rPr>
        <w:t xml:space="preserve">Claim 9.</w:t>
      </w:r>
      <w:r>
        <w:t xml:space="preserve"> </w:t>
      </w:r>
      <w:r>
        <w:t xml:space="preserve">The method of Claim 8, further comprising:</w:t>
      </w:r>
      <w:r>
        <w:t xml:space="preserve"> </w:t>
      </w:r>
      <w:r>
        <w:t xml:space="preserve">(a) accepting a claim filing as a child record on the parent Digital Title Certificate;</w:t>
      </w:r>
      <w:r>
        <w:t xml:space="preserve"> </w:t>
      </w:r>
      <w:r>
        <w:t xml:space="preserve">(b) evaluating the claim against the policy’s pinned rule-set through an artificial-intelligence-powered claims processing service;</w:t>
      </w:r>
      <w:r>
        <w:t xml:space="preserve"> </w:t>
      </w:r>
      <w:r>
        <w:t xml:space="preserve">(c) identifying the triggering event in the audit chain; and</w:t>
      </w:r>
      <w:r>
        <w:t xml:space="preserve"> </w:t>
      </w:r>
      <w:r>
        <w:t xml:space="preserve">(d) producing a recommended resolution persisted as a child record with audit-chain anchor.</w:t>
      </w:r>
    </w:p>
    <w:p>
      <w:pPr>
        <w:pStyle w:val="BodyText"/>
      </w:pPr>
      <w:r>
        <w:rPr>
          <w:b/>
          <w:bCs/>
        </w:rPr>
        <w:t xml:space="preserve">Claim 10.</w:t>
      </w:r>
      <w:r>
        <w:t xml:space="preserve"> </w:t>
      </w:r>
      <w:r>
        <w:t xml:space="preserve">The system of Claim 1, wherein the cryptographic audit chain is chain-agnostic with embodiments including Base, Ethereum, Polygon, Solana, and Avalanche.</w:t>
      </w:r>
    </w:p>
    <w:p>
      <w:pPr>
        <w:pStyle w:val="BodyText"/>
      </w:pPr>
      <w:r>
        <w:rPr>
          <w:b/>
          <w:bCs/>
        </w:rPr>
        <w:t xml:space="preserve">Claim 11.</w:t>
      </w:r>
      <w:r>
        <w:t xml:space="preserve"> </w:t>
      </w:r>
      <w:r>
        <w:t xml:space="preserve">The system of Claim 1, wherein multiple competing insurers underwrite policies against the same DTC architecture, with the platform providing the shared trust layer.</w:t>
      </w:r>
    </w:p>
    <w:p>
      <w:pPr>
        <w:pStyle w:val="BodyText"/>
      </w:pPr>
      <w:r>
        <w:rPr>
          <w:b/>
          <w:bCs/>
        </w:rPr>
        <w:t xml:space="preserve">Claim 12.</w:t>
      </w:r>
      <w:r>
        <w:t xml:space="preserve"> </w:t>
      </w:r>
      <w:r>
        <w:t xml:space="preserve">The system of Claim 1, extending to property insurance wherein child records capture asset condition data (inspections, maintenance, IoT telemetry) and the insurance integration layer enables real-time risk monitoring and accelerated claims processing for physical loss coverage.</w:t>
      </w:r>
    </w:p>
    <w:p>
      <w:r>
        <w:pict>
          <v:rect style="width:0;height:1.5pt" o:hralign="center" o:hrstd="t" o:hr="t"/>
        </w:pict>
      </w:r>
    </w:p>
    <w:bookmarkEnd w:id="111"/>
    <w:bookmarkStart w:id="112" w:name="abstract-4"/>
    <w:p>
      <w:pPr>
        <w:pStyle w:val="Heading2"/>
      </w:pPr>
      <w:r>
        <w:t xml:space="preserve">ABSTRACT</w:t>
      </w:r>
    </w:p>
    <w:p>
      <w:pPr>
        <w:pStyle w:val="FirstParagraph"/>
      </w:pPr>
      <w:r>
        <w:t xml:space="preserve">A Blockchain-Based Title and Property Assurance System comprising a parent-child Digital Title Certificate record structure, AI-powered Digital Workers performing title examination and risk underwriting, a multi-tier composable rule set governing per-asset-class and per-jurisdiction compliance, a chain-agnostic hash-anchored audit chain, a real-time underwriting engine continuously monitoring external feeds, and an insurance integration layer providing insurer access to the DTC record set. The System enables real-time, immutable, dynamically-priced title assurance and property insurance across real estate, vehicles, aircraft, intellectual property, professional credentials, livestock, and high-value collectibles. The System extends prior art parent-child DTC architecture (U.S. Patent Application No. 18/398,973 and December 2024 Blockchain Logbook System filing) by composing those foundations with AI-governed worker layers, multi-tier rule composition, real-time underwriting, and insurance integration to enable assurance capabilities not provided by traditional title insurance or by the prior art alone. Cross-jurisdictional and cross-asset-class portability is achieved through the chain-agnostic architecture and composable rule sets. Continuous monitoring departs from traditional snapshot underwriting, providing real-time risk visibility and accelerated claims processing.</w:t>
      </w:r>
    </w:p>
    <w:p>
      <w:r>
        <w:pict>
          <v:rect style="width:0;height:1.5pt" o:hralign="center" o:hrstd="t" o:hr="t"/>
        </w:pict>
      </w:r>
    </w:p>
    <w:bookmarkEnd w:id="112"/>
    <w:bookmarkStart w:id="113" w:name="inventorship-and-assignment-notes-4"/>
    <w:p>
      <w:pPr>
        <w:pStyle w:val="Heading2"/>
      </w:pPr>
      <w:r>
        <w:t xml:space="preserve">INVENTORSHIP AND ASSIGNMENT NOTES</w:t>
      </w:r>
    </w:p>
    <w:p>
      <w:pPr>
        <w:pStyle w:val="FirstParagraph"/>
      </w:pPr>
      <w:r>
        <w:rPr>
          <w:b/>
          <w:bCs/>
        </w:rPr>
        <w:t xml:space="preserve">Named Inventor:</w:t>
      </w:r>
      <w:r>
        <w:t xml:space="preserve"> </w:t>
      </w:r>
      <w:r>
        <w:t xml:space="preserve">Sean Lee Combs, sole inventor.</w:t>
      </w:r>
    </w:p>
    <w:p>
      <w:pPr>
        <w:pStyle w:val="BodyText"/>
      </w:pPr>
      <w:r>
        <w:rPr>
          <w:b/>
          <w:bCs/>
        </w:rPr>
        <w:t xml:space="preserve">Applicant:</w:t>
      </w:r>
      <w:r>
        <w:t xml:space="preserve"> </w:t>
      </w:r>
      <w:r>
        <w:t xml:space="preserve">SOCIII Inc., a Delaware C-corporation.</w:t>
      </w:r>
    </w:p>
    <w:p>
      <w:pPr>
        <w:pStyle w:val="BodyText"/>
      </w:pPr>
      <w:r>
        <w:rPr>
          <w:b/>
          <w:bCs/>
        </w:rPr>
        <w:t xml:space="preserve">Prior Art Citation Note:</w:t>
      </w:r>
      <w:r>
        <w:t xml:space="preserve"> </w:t>
      </w:r>
      <w:r>
        <w:t xml:space="preserve">This application explicitly cites U.S. Patent Application No. 18/398,973 (Combs, 2023, abandoned, published 2025) and the December 2024 Blockchain Logbook System filing (Combs) as prior art. These citations establish the foundational parent-child DTC architecture as known in the art and frame the present claims as system-level composition that extends, rather than reclaims, the prior disclosures.</w:t>
      </w:r>
    </w:p>
    <w:p>
      <w:pPr>
        <w:pStyle w:val="BodyText"/>
      </w:pPr>
      <w:r>
        <w:rPr>
          <w:b/>
          <w:bCs/>
        </w:rPr>
        <w:t xml:space="preserve">Industry Context:</w:t>
      </w:r>
      <w:r>
        <w:t xml:space="preserve"> </w:t>
      </w:r>
      <w:r>
        <w:t xml:space="preserve">The traditional title insurance industry in the United States exceeds $20B in annual premium revenue and operates with substantial inefficiencies (typical 0.5-1.0% one-time premium for a snapshot policy, with limited post-issuance coverage). The present invention’s continuous-monitoring architecture and lower automation costs enable disruption of this market with materially superior protection at materially lower cost.</w:t>
      </w:r>
    </w:p>
    <w:p>
      <w:r>
        <w:pict>
          <v:rect style="width:0;height:1.5pt" o:hralign="center" o:hrstd="t" o:hr="t"/>
        </w:pict>
      </w:r>
    </w:p>
    <w:p>
      <w:pPr>
        <w:pStyle w:val="FirstParagraph"/>
      </w:pPr>
      <w:r>
        <w:rPr>
          <w:i/>
          <w:iCs/>
        </w:rPr>
        <w:t xml:space="preserve">End of Filing B draft. Sean to review, refine claim language, and add formal drawings before USPTO submission.</w:t>
      </w:r>
    </w:p>
    <w:bookmarkEnd w:id="113"/>
    <w:bookmarkEnd w:id="114"/>
    <w:bookmarkStart w:id="115" w:name="Xc833b540e1d14a7b58a3a91e653b1815bf14e3f"/>
    <w:p>
      <w:pPr>
        <w:pStyle w:val="Heading1"/>
      </w:pPr>
      <w:r>
        <w:t xml:space="preserve">Filing C — RAAS Multi-Tier Composable Rules (App # 64/073,708)</w:t>
      </w:r>
    </w:p>
    <w:bookmarkEnd w:id="115"/>
    <w:bookmarkStart w:id="133" w:name="Xbb5db2bc4a1e35e62fb4c17ea64c409626e3641"/>
    <w:p>
      <w:pPr>
        <w:pStyle w:val="Heading1"/>
      </w:pPr>
      <w:r>
        <w:t xml:space="preserve">Filing C — Multi-Tier Composable Rule-Based Governance System for AI-Powered Digital Workers</w:t>
      </w:r>
    </w:p>
    <w:p>
      <w:pPr>
        <w:pStyle w:val="FirstParagraph"/>
      </w:pPr>
      <w:r>
        <w:rPr>
          <w:b/>
          <w:bCs/>
        </w:rPr>
        <w:t xml:space="preserve">Type:</w:t>
      </w:r>
      <w:r>
        <w:t xml:space="preserve"> </w:t>
      </w:r>
      <w:r>
        <w:t xml:space="preserve">Provisional Patent Application (35 U.S.C. § 111(b))</w:t>
      </w:r>
      <w:r>
        <w:t xml:space="preserve"> </w:t>
      </w:r>
      <w:r>
        <w:rPr>
          <w:b/>
          <w:bCs/>
        </w:rPr>
        <w:t xml:space="preserve">Filing target:</w:t>
      </w:r>
      <w:r>
        <w:t xml:space="preserve"> </w:t>
      </w:r>
      <w:r>
        <w:t xml:space="preserve">Sun 2026-05-24 via USPTO EFS-Web</w:t>
      </w:r>
      <w:r>
        <w:t xml:space="preserve"> </w:t>
      </w:r>
      <w:r>
        <w:rPr>
          <w:b/>
          <w:bCs/>
        </w:rPr>
        <w:t xml:space="preserve">Applicant:</w:t>
      </w:r>
      <w:r>
        <w:t xml:space="preserve"> </w:t>
      </w:r>
      <w:r>
        <w:t xml:space="preserve">SOCIII Inc. (Delaware C-corporation)</w:t>
      </w:r>
      <w:r>
        <w:t xml:space="preserve"> </w:t>
      </w:r>
      <w:r>
        <w:rPr>
          <w:b/>
          <w:bCs/>
        </w:rPr>
        <w:t xml:space="preserve">Named Inventor:</w:t>
      </w:r>
      <w:r>
        <w:t xml:space="preserve"> </w:t>
      </w:r>
      <w:r>
        <w:t xml:space="preserve">Sean Lee Combs</w:t>
      </w:r>
      <w:r>
        <w:t xml:space="preserve"> </w:t>
      </w:r>
      <w:r>
        <w:rPr>
          <w:b/>
          <w:bCs/>
        </w:rPr>
        <w:t xml:space="preserve">Small entity status:</w:t>
      </w:r>
      <w:r>
        <w:t xml:space="preserve"> </w:t>
      </w:r>
      <w:r>
        <w:t xml:space="preserve">Yes</w:t>
      </w:r>
      <w:r>
        <w:t xml:space="preserve"> </w:t>
      </w:r>
      <w:r>
        <w:rPr>
          <w:b/>
          <w:bCs/>
        </w:rPr>
        <w:t xml:space="preserve">Estimated filing fee:</w:t>
      </w:r>
      <w:r>
        <w:t xml:space="preserve"> </w:t>
      </w:r>
      <w:r>
        <w:t xml:space="preserve">$120</w:t>
      </w:r>
    </w:p>
    <w:p>
      <w:r>
        <w:pict>
          <v:rect style="width:0;height:1.5pt" o:hralign="center" o:hrstd="t" o:hr="t"/>
        </w:pict>
      </w:r>
    </w:p>
    <w:bookmarkStart w:id="116" w:name="title-of-invention-5"/>
    <w:p>
      <w:pPr>
        <w:pStyle w:val="Heading2"/>
      </w:pPr>
      <w:r>
        <w:t xml:space="preserve">TITLE OF INVENTION</w:t>
      </w:r>
    </w:p>
    <w:p>
      <w:pPr>
        <w:pStyle w:val="FirstParagraph"/>
      </w:pPr>
      <w:r>
        <w:rPr>
          <w:b/>
          <w:bCs/>
        </w:rPr>
        <w:t xml:space="preserve">Multi-Tier Composable Rule-Based Governance System for AI-Powered Digital Workers with Version-Pinned Audit Trail, Pre-Publish Constraint Enforcement, Regulatory Ingestion, and Identity-Anchored Hash Chain</w:t>
      </w:r>
    </w:p>
    <w:p>
      <w:r>
        <w:pict>
          <v:rect style="width:0;height:1.5pt" o:hralign="center" o:hrstd="t" o:hr="t"/>
        </w:pict>
      </w:r>
    </w:p>
    <w:bookmarkEnd w:id="116"/>
    <w:bookmarkStart w:id="117" w:name="field-of-the-invention-5"/>
    <w:p>
      <w:pPr>
        <w:pStyle w:val="Heading2"/>
      </w:pPr>
      <w:r>
        <w:t xml:space="preserve">FIELD OF THE INVENTION</w:t>
      </w:r>
    </w:p>
    <w:p>
      <w:pPr>
        <w:pStyle w:val="FirstParagraph"/>
      </w:pPr>
      <w:r>
        <w:t xml:space="preserve">The present invention relates to systems for governing the actions of artificial-intelligence-powered software agents (referred to herein as</w:t>
      </w:r>
      <w:r>
        <w:t xml:space="preserve"> </w:t>
      </w:r>
      <w:r>
        <w:t xml:space="preserve">“Digital Workers”</w:t>
      </w:r>
      <w:r>
        <w:t xml:space="preserve">), and more particularly to a multi-tier composable rule architecture wherein platform-wide invariants, vertical-domain rule sets, workspace-level overrides, and per-transaction custom rules layer additively with conflict resolution, are version-pinned at the time of any governance event, are enforced by a pre-publish constraint check before any action with external consequences executes, and are integrated with a hash-anchored cryptographic audit chain that ties every governance decision to immutable proof-of-existence keyed by identity attestations.</w:t>
      </w:r>
    </w:p>
    <w:p>
      <w:r>
        <w:pict>
          <v:rect style="width:0;height:1.5pt" o:hralign="center" o:hrstd="t" o:hr="t"/>
        </w:pict>
      </w:r>
    </w:p>
    <w:bookmarkEnd w:id="117"/>
    <w:bookmarkStart w:id="122" w:name="background-of-the-invention-5"/>
    <w:p>
      <w:pPr>
        <w:pStyle w:val="Heading2"/>
      </w:pPr>
      <w:r>
        <w:t xml:space="preserve">BACKGROUND OF THE INVENTION</w:t>
      </w:r>
    </w:p>
    <w:bookmarkStart w:id="118" w:name="continuous-invention-thread-5"/>
    <w:p>
      <w:pPr>
        <w:pStyle w:val="Heading3"/>
      </w:pPr>
      <w:r>
        <w:t xml:space="preserve">Continuous Invention Thread</w:t>
      </w:r>
    </w:p>
    <w:p>
      <w:pPr>
        <w:pStyle w:val="FirstParagraph"/>
      </w:pPr>
      <w:r>
        <w:t xml:space="preserve">This invention extends a continuous body of work in blockchain-anchored governance and Digital Worker composition, including:</w:t>
      </w:r>
    </w:p>
    <w:p>
      <w:pPr>
        <w:numPr>
          <w:ilvl w:val="0"/>
          <w:numId w:val="1050"/>
        </w:numPr>
      </w:pPr>
      <w:r>
        <w:t xml:space="preserve">U.S. Patent Application No. 18/398,973 (Combs, filed December 28, 2023; abandoned in prosecution and published as prior art approximately June 28, 2025) which disclosed foundational parent-child Digital Title Certificate architecture and multi-signature smart-contract escrow mechanisms; and</w:t>
      </w:r>
    </w:p>
    <w:p>
      <w:pPr>
        <w:numPr>
          <w:ilvl w:val="0"/>
          <w:numId w:val="1050"/>
        </w:numPr>
      </w:pPr>
      <w:r>
        <w:t xml:space="preserve">A December 2024 Blockchain Logbook System filing (Combs) which extended the parent-child architecture to dynamically-updatable logbook records.</w:t>
      </w:r>
    </w:p>
    <w:p>
      <w:pPr>
        <w:pStyle w:val="FirstParagraph"/>
      </w:pPr>
      <w:r>
        <w:t xml:space="preserve">The present invention is a net-new architectural contribution that builds on those foundational primitives. Where the prior art establishes the record-keeping substrate (parent-child DTCs with cryptographic anchoring), the present invention provides the</w:t>
      </w:r>
      <w:r>
        <w:t xml:space="preserve"> </w:t>
      </w:r>
      <w:r>
        <w:rPr>
          <w:i/>
          <w:iCs/>
        </w:rPr>
        <w:t xml:space="preserve">governance layer</w:t>
      </w:r>
      <w:r>
        <w:t xml:space="preserve"> </w:t>
      </w:r>
      <w:r>
        <w:t xml:space="preserve">that determines what AI-powered actions are permitted to write to that substrate, under what rules, with what audit and accountability, and how those rules compose across multiple authority levels.</w:t>
      </w:r>
    </w:p>
    <w:bookmarkEnd w:id="118"/>
    <w:bookmarkStart w:id="119" w:name="Xa54e203dea8868383dead54f2171bdff5e72922"/>
    <w:p>
      <w:pPr>
        <w:pStyle w:val="Heading3"/>
      </w:pPr>
      <w:r>
        <w:t xml:space="preserve">Cross-Filing Relationship to Co-Pending Applications</w:t>
      </w:r>
    </w:p>
    <w:p>
      <w:pPr>
        <w:pStyle w:val="FirstParagraph"/>
      </w:pPr>
      <w:r>
        <w:t xml:space="preserve">This application has a significant relationship to co-pending provisional patent applications filed by the same inventor and applicant on May 25, 2026 (collectively the</w:t>
      </w:r>
      <w:r>
        <w:t xml:space="preserve"> </w:t>
      </w:r>
      <w:r>
        <w:t xml:space="preserve">“May 25 Family”</w:t>
      </w:r>
      <w:r>
        <w:t xml:space="preserve">). Specifically:</w:t>
      </w:r>
    </w:p>
    <w:p>
      <w:pPr>
        <w:numPr>
          <w:ilvl w:val="0"/>
          <w:numId w:val="1051"/>
        </w:numPr>
      </w:pPr>
      <w:r>
        <w:t xml:space="preserve">The</w:t>
      </w:r>
      <w:r>
        <w:t xml:space="preserve"> </w:t>
      </w:r>
      <w:r>
        <w:rPr>
          <w:b/>
          <w:bCs/>
        </w:rPr>
        <w:t xml:space="preserve">Knowledge Capture Pipeline</w:t>
      </w:r>
      <w:r>
        <w:t xml:space="preserve"> </w:t>
      </w:r>
      <w:r>
        <w:t xml:space="preserve">(co-pending U.S. Provisional Patent Application No. 64/073,693) discloses three ingestion jobs (Codex Ingestion, Rule Extraction, Worker Fixture Capture) and a Terminal Worker safety architecture that together compose a SYSTEM for converting expert conversations into governed worker capabilities. That filing claims the pipeline as a composed system. The present application claims the</w:t>
      </w:r>
      <w:r>
        <w:t xml:space="preserve"> </w:t>
      </w:r>
      <w:r>
        <w:rPr>
          <w:b/>
          <w:bCs/>
        </w:rPr>
        <w:t xml:space="preserve">rule composition engine</w:t>
      </w:r>
      <w:r>
        <w:t xml:space="preserve"> </w:t>
      </w:r>
      <w:r>
        <w:t xml:space="preserve">as a STANDALONE system — the deterministic conflict resolution algorithm, the five-tier architecture, the content-hashing of rule definitions, the version-pinning mechanism, the pre-publish constraint check service, and the regulatory ingestion service — independent of whether those rules came from human conversation, codex documents, or any other source. The two filings are intentionally complementary: Filing 2 protects the pipeline that PRODUCES rules and fixtures; the present filing protects the engine that COMPOSES and ENFORCES rules.</w:t>
      </w:r>
    </w:p>
    <w:p>
      <w:pPr>
        <w:numPr>
          <w:ilvl w:val="0"/>
          <w:numId w:val="1051"/>
        </w:numPr>
      </w:pPr>
      <w:r>
        <w:t xml:space="preserve">The</w:t>
      </w:r>
      <w:r>
        <w:t xml:space="preserve"> </w:t>
      </w:r>
      <w:r>
        <w:rPr>
          <w:b/>
          <w:bCs/>
        </w:rPr>
        <w:t xml:space="preserve">Identity-Anchored Hash-Chain Audit Trail</w:t>
      </w:r>
      <w:r>
        <w:t xml:space="preserve"> </w:t>
      </w:r>
      <w:r>
        <w:t xml:space="preserve">(co-pending U.S. Provisional Patent Application No. 64/073,693) discloses the audit chain architecture. The present application USES that audit chain to anchor each rule composition event and each rule-set version, but does not separately claim the audit chain architecture itself.</w:t>
      </w:r>
    </w:p>
    <w:p>
      <w:pPr>
        <w:numPr>
          <w:ilvl w:val="0"/>
          <w:numId w:val="1051"/>
        </w:numPr>
      </w:pPr>
      <w:r>
        <w:t xml:space="preserve">The</w:t>
      </w:r>
      <w:r>
        <w:t xml:space="preserve"> </w:t>
      </w:r>
      <w:r>
        <w:rPr>
          <w:b/>
          <w:bCs/>
        </w:rPr>
        <w:t xml:space="preserve">Build-Without-Code Worker Authoring System</w:t>
      </w:r>
      <w:r>
        <w:t xml:space="preserve"> </w:t>
      </w:r>
      <w:r>
        <w:t xml:space="preserve">(co-pending U.S. Provisional Patent Application No. 64/073,693) discloses the conversational worker authoring UX pattern. The present application is USED by Build-Without-Code workers (the rule composition engine evaluates each authored worker’s rule set), but does not separately claim the authoring UX.</w:t>
      </w:r>
    </w:p>
    <w:p>
      <w:pPr>
        <w:pStyle w:val="FirstParagraph"/>
      </w:pPr>
      <w:r>
        <w:t xml:space="preserve">The cross-family claim differentiation will be coordinated at nonprovisional conversion time. The present filing’s principal claim scope is the</w:t>
      </w:r>
      <w:r>
        <w:t xml:space="preserve"> </w:t>
      </w:r>
      <w:r>
        <w:rPr>
          <w:b/>
          <w:bCs/>
        </w:rPr>
        <w:t xml:space="preserve">rule composition engine as a standalone system</w:t>
      </w:r>
      <w:r>
        <w:t xml:space="preserve"> </w:t>
      </w:r>
      <w:r>
        <w:t xml:space="preserve">— usable independently of any specific ingestion pipeline, authoring surface, or audit trail anchoring scheme, and applicable across any rule-governed industry.</w:t>
      </w:r>
    </w:p>
    <w:bookmarkEnd w:id="119"/>
    <w:bookmarkStart w:id="120" w:name="Xefcb1cc16809b6fefd58cf856872d4bd7ccaf2b"/>
    <w:p>
      <w:pPr>
        <w:pStyle w:val="Heading3"/>
      </w:pPr>
      <w:r>
        <w:t xml:space="preserve">Background — The Governance Gap in AI Agent Systems</w:t>
      </w:r>
    </w:p>
    <w:p>
      <w:pPr>
        <w:pStyle w:val="FirstParagraph"/>
      </w:pPr>
      <w:r>
        <w:t xml:space="preserve">The rapid proliferation of large language model (LLM) based AI agents (e.g., LangChain, AutoGen, OpenAI Assistants, Anthropic Claude, OpenAI GPT, Google Gemini-based agents) has created a substantial governance gap:</w:t>
      </w:r>
    </w:p>
    <w:p>
      <w:pPr>
        <w:numPr>
          <w:ilvl w:val="0"/>
          <w:numId w:val="1052"/>
        </w:numPr>
      </w:pPr>
      <w:r>
        <w:rPr>
          <w:b/>
          <w:bCs/>
        </w:rPr>
        <w:t xml:space="preserve">Prompt-level guardrails are fragile.</w:t>
      </w:r>
      <w:r>
        <w:t xml:space="preserve"> </w:t>
      </w:r>
      <w:r>
        <w:t xml:space="preserve">State-of-the-art AI agents are governed primarily through natural-language instructions in their system prompts. These guardrails fail in known ways: instruction-following degrades under adversarial inputs, the model may</w:t>
      </w:r>
      <w:r>
        <w:t xml:space="preserve"> </w:t>
      </w:r>
      <w:r>
        <w:t xml:space="preserve">“forget”</w:t>
      </w:r>
      <w:r>
        <w:t xml:space="preserve"> </w:t>
      </w:r>
      <w:r>
        <w:t xml:space="preserve">earlier instructions during long conversations, and edge-case instructions are often violated.</w:t>
      </w:r>
    </w:p>
    <w:p>
      <w:pPr>
        <w:numPr>
          <w:ilvl w:val="0"/>
          <w:numId w:val="1052"/>
        </w:numPr>
      </w:pPr>
      <w:r>
        <w:rPr>
          <w:b/>
          <w:bCs/>
        </w:rPr>
        <w:t xml:space="preserve">Hard-coded business logic is rigid.</w:t>
      </w:r>
      <w:r>
        <w:t xml:space="preserve"> </w:t>
      </w:r>
      <w:r>
        <w:t xml:space="preserve">Where agents are deployed in regulated industries, organizations frequently encode business rules and compliance constraints directly in application code surrounding the agent. This approach is rigid (rules cannot be updated without code deploys), opaque (rules are not visible to non-engineering stakeholders), and non-portable (rules cannot easily transfer between deployments).</w:t>
      </w:r>
    </w:p>
    <w:p>
      <w:pPr>
        <w:numPr>
          <w:ilvl w:val="0"/>
          <w:numId w:val="1052"/>
        </w:numPr>
      </w:pPr>
      <w:r>
        <w:rPr>
          <w:b/>
          <w:bCs/>
        </w:rPr>
        <w:t xml:space="preserve">No standard for multi-authority rule composition.</w:t>
      </w:r>
      <w:r>
        <w:t xml:space="preserve"> </w:t>
      </w:r>
      <w:r>
        <w:t xml:space="preserve">Real-world regulated systems have multiple authorities defining rules at different levels — platform operators define safety invariants, regulators define industry-specific rules, jurisdictions add local overrides, and enterprises add custom policies. Existing AI agent frameworks have no standard architecture for composing these multi-authority rules with deterministic conflict resolution.</w:t>
      </w:r>
    </w:p>
    <w:p>
      <w:pPr>
        <w:numPr>
          <w:ilvl w:val="0"/>
          <w:numId w:val="1052"/>
        </w:numPr>
      </w:pPr>
      <w:r>
        <w:rPr>
          <w:b/>
          <w:bCs/>
        </w:rPr>
        <w:t xml:space="preserve">No reproducible audit trail.</w:t>
      </w:r>
      <w:r>
        <w:t xml:space="preserve"> </w:t>
      </w:r>
      <w:r>
        <w:t xml:space="preserve">When an AI agent produces an output that is later challenged (regulatory inquiry, legal dispute, audit), the existing tooling typically cannot reconstruct exactly which rules were in effect at the time the output was produced. Rule sets are mutable; agents store no pinned version of the rules under which they operated.</w:t>
      </w:r>
    </w:p>
    <w:p>
      <w:pPr>
        <w:numPr>
          <w:ilvl w:val="0"/>
          <w:numId w:val="1052"/>
        </w:numPr>
      </w:pPr>
      <w:r>
        <w:rPr>
          <w:b/>
          <w:bCs/>
        </w:rPr>
        <w:t xml:space="preserve">No pre-publish constraint enforcement.</w:t>
      </w:r>
      <w:r>
        <w:t xml:space="preserve"> </w:t>
      </w:r>
      <w:r>
        <w:t xml:space="preserve">Existing systems generally validate agent outputs by inspecting them after generation. They lack a structured pre-publish constraint check that evaluates</w:t>
      </w:r>
      <w:r>
        <w:t xml:space="preserve"> </w:t>
      </w:r>
      <w:r>
        <w:rPr>
          <w:i/>
          <w:iCs/>
        </w:rPr>
        <w:t xml:space="preserve">whether the proposed action would violate any active rule</w:t>
      </w:r>
      <w:r>
        <w:t xml:space="preserve"> </w:t>
      </w:r>
      <w:r>
        <w:t xml:space="preserve">before the action is committed externally (sending an email, transferring funds, modifying a record, posting to a public ledger).</w:t>
      </w:r>
    </w:p>
    <w:p>
      <w:pPr>
        <w:numPr>
          <w:ilvl w:val="0"/>
          <w:numId w:val="1052"/>
        </w:numPr>
      </w:pPr>
      <w:r>
        <w:rPr>
          <w:b/>
          <w:bCs/>
        </w:rPr>
        <w:t xml:space="preserve">Regulatory data is ingested manually.</w:t>
      </w:r>
      <w:r>
        <w:t xml:space="preserve"> </w:t>
      </w:r>
      <w:r>
        <w:t xml:space="preserve">When regulatory rules change (new SEC enforcement actions, OFAC sanctions additions, jurisdiction-specific updates), affected enterprises typically discover and incorporate the changes manually, with significant lag and risk of missed updates.</w:t>
      </w:r>
    </w:p>
    <w:p>
      <w:pPr>
        <w:numPr>
          <w:ilvl w:val="0"/>
          <w:numId w:val="1052"/>
        </w:numPr>
      </w:pPr>
      <w:r>
        <w:rPr>
          <w:b/>
          <w:bCs/>
        </w:rPr>
        <w:t xml:space="preserve">Identity and governance are decoupled.</w:t>
      </w:r>
      <w:r>
        <w:t xml:space="preserve"> </w:t>
      </w:r>
      <w:r>
        <w:t xml:space="preserve">Existing AI agent systems generally do not bind governance events to verified identities. The same agent invocation may be triggered by any authenticated user; there is no architecture wherein the user’s identity attestation flows into the rule-set composition as a first-class input.</w:t>
      </w:r>
    </w:p>
    <w:bookmarkEnd w:id="120"/>
    <w:bookmarkStart w:id="121" w:name="prior-art-limitations-5"/>
    <w:p>
      <w:pPr>
        <w:pStyle w:val="Heading3"/>
      </w:pPr>
      <w:r>
        <w:t xml:space="preserve">Prior Art Limitations</w:t>
      </w:r>
    </w:p>
    <w:p>
      <w:pPr>
        <w:pStyle w:val="FirstParagraph"/>
      </w:pPr>
      <w:r>
        <w:t xml:space="preserve">While the cited prior art establishes the parent-child DTC + audit chain primitives, it does not address the governance gap above. Specifically:</w:t>
      </w:r>
    </w:p>
    <w:p>
      <w:pPr>
        <w:pStyle w:val="Compact"/>
        <w:numPr>
          <w:ilvl w:val="0"/>
          <w:numId w:val="1053"/>
        </w:numPr>
      </w:pPr>
      <w:r>
        <w:t xml:space="preserve">The cited prior art does not disclose a multi-tier rule composition architecture;</w:t>
      </w:r>
    </w:p>
    <w:p>
      <w:pPr>
        <w:pStyle w:val="Compact"/>
        <w:numPr>
          <w:ilvl w:val="0"/>
          <w:numId w:val="1053"/>
        </w:numPr>
      </w:pPr>
      <w:r>
        <w:t xml:space="preserve">It does not disclose rule-set version pinning;</w:t>
      </w:r>
    </w:p>
    <w:p>
      <w:pPr>
        <w:pStyle w:val="Compact"/>
        <w:numPr>
          <w:ilvl w:val="0"/>
          <w:numId w:val="1053"/>
        </w:numPr>
      </w:pPr>
      <w:r>
        <w:t xml:space="preserve">It does not disclose a pre-publish constraint check service;</w:t>
      </w:r>
    </w:p>
    <w:p>
      <w:pPr>
        <w:pStyle w:val="Compact"/>
        <w:numPr>
          <w:ilvl w:val="0"/>
          <w:numId w:val="1053"/>
        </w:numPr>
      </w:pPr>
      <w:r>
        <w:t xml:space="preserve">It does not disclose regulatory ingestion automating the update of vertical-level rule sets;</w:t>
      </w:r>
    </w:p>
    <w:p>
      <w:pPr>
        <w:pStyle w:val="Compact"/>
        <w:numPr>
          <w:ilvl w:val="0"/>
          <w:numId w:val="1053"/>
        </w:numPr>
      </w:pPr>
      <w:r>
        <w:t xml:space="preserve">It does not disclose AI-worker output validation against composed rule sets;</w:t>
      </w:r>
    </w:p>
    <w:p>
      <w:pPr>
        <w:pStyle w:val="Compact"/>
        <w:numPr>
          <w:ilvl w:val="0"/>
          <w:numId w:val="1053"/>
        </w:numPr>
      </w:pPr>
      <w:r>
        <w:t xml:space="preserve">It does not disclose binding identity attestations as inputs to governance evaluation;</w:t>
      </w:r>
    </w:p>
    <w:p>
      <w:pPr>
        <w:pStyle w:val="Compact"/>
        <w:numPr>
          <w:ilvl w:val="0"/>
          <w:numId w:val="1053"/>
        </w:numPr>
      </w:pPr>
      <w:r>
        <w:t xml:space="preserve">It does not address governance of AI-powered Digital Workers generally.</w:t>
      </w:r>
    </w:p>
    <w:p>
      <w:pPr>
        <w:pStyle w:val="FirstParagraph"/>
      </w:pPr>
      <w:r>
        <w:t xml:space="preserve">The present invention provides a comprehensive solution to the governance gap through novel architecture.</w:t>
      </w:r>
    </w:p>
    <w:p>
      <w:r>
        <w:pict>
          <v:rect style="width:0;height:1.5pt" o:hralign="center" o:hrstd="t" o:hr="t"/>
        </w:pict>
      </w:r>
    </w:p>
    <w:bookmarkEnd w:id="121"/>
    <w:bookmarkEnd w:id="122"/>
    <w:bookmarkStart w:id="123" w:name="summary-of-the-invention-5"/>
    <w:p>
      <w:pPr>
        <w:pStyle w:val="Heading2"/>
      </w:pPr>
      <w:r>
        <w:t xml:space="preserve">SUMMARY OF THE INVENTION</w:t>
      </w:r>
    </w:p>
    <w:p>
      <w:pPr>
        <w:pStyle w:val="FirstParagraph"/>
      </w:pPr>
      <w:r>
        <w:t xml:space="preserve">The present invention provides a Multi-Tier Composable Rule-Based Governance System (the</w:t>
      </w:r>
      <w:r>
        <w:t xml:space="preserve"> </w:t>
      </w:r>
      <w:r>
        <w:t xml:space="preserve">“System”</w:t>
      </w:r>
      <w:r>
        <w:t xml:space="preserve">) comprising:</w:t>
      </w:r>
    </w:p>
    <w:p>
      <w:pPr>
        <w:numPr>
          <w:ilvl w:val="0"/>
          <w:numId w:val="1054"/>
        </w:numPr>
      </w:pPr>
      <w:r>
        <w:rPr>
          <w:b/>
          <w:bCs/>
        </w:rPr>
        <w:t xml:space="preserve">A multi-tier rule architecture</w:t>
      </w:r>
      <w:r>
        <w:t xml:space="preserve"> </w:t>
      </w:r>
      <w:r>
        <w:t xml:space="preserve">organizing all governance rules into five tiers:</w:t>
      </w:r>
    </w:p>
    <w:p>
      <w:pPr>
        <w:pStyle w:val="Compact"/>
        <w:numPr>
          <w:ilvl w:val="1"/>
          <w:numId w:val="1055"/>
        </w:numPr>
      </w:pPr>
      <w:r>
        <w:rPr>
          <w:b/>
          <w:bCs/>
        </w:rPr>
        <w:t xml:space="preserve">Tier 0 (Platform Safety):</w:t>
      </w:r>
      <w:r>
        <w:t xml:space="preserve"> </w:t>
      </w:r>
      <w:r>
        <w:t xml:space="preserve">Immutable platform-wide invariants enforced on every action by every Digital Worker (e.g., no impersonation of licensed professionals, append-only audit trail, no PII exposure, AI-generation disclosure).</w:t>
      </w:r>
    </w:p>
    <w:p>
      <w:pPr>
        <w:pStyle w:val="Compact"/>
        <w:numPr>
          <w:ilvl w:val="1"/>
          <w:numId w:val="1055"/>
        </w:numPr>
      </w:pPr>
      <w:r>
        <w:rPr>
          <w:b/>
          <w:bCs/>
        </w:rPr>
        <w:t xml:space="preserve">Tier 1 (Platform Operations):</w:t>
      </w:r>
      <w:r>
        <w:t xml:space="preserve"> </w:t>
      </w:r>
      <w:r>
        <w:t xml:space="preserve">Platform-wide operational rules (subscription enforcement, role-based access control, capability gating, usage limits).</w:t>
      </w:r>
    </w:p>
    <w:p>
      <w:pPr>
        <w:pStyle w:val="Compact"/>
        <w:numPr>
          <w:ilvl w:val="1"/>
          <w:numId w:val="1055"/>
        </w:numPr>
      </w:pPr>
      <w:r>
        <w:rPr>
          <w:b/>
          <w:bCs/>
        </w:rPr>
        <w:t xml:space="preserve">Tier 2 (Vertical Baselines):</w:t>
      </w:r>
      <w:r>
        <w:t xml:space="preserve"> </w:t>
      </w:r>
      <w:r>
        <w:t xml:space="preserve">Per-industry rule sets defining the regulations applicable to a specific domain (real estate, securities, healthcare, aviation, automotive, etc.).</w:t>
      </w:r>
    </w:p>
    <w:p>
      <w:pPr>
        <w:pStyle w:val="Compact"/>
        <w:numPr>
          <w:ilvl w:val="1"/>
          <w:numId w:val="1055"/>
        </w:numPr>
      </w:pPr>
      <w:r>
        <w:rPr>
          <w:b/>
          <w:bCs/>
        </w:rPr>
        <w:t xml:space="preserve">Tier 3 (Workspace Overlays):</w:t>
      </w:r>
      <w:r>
        <w:t xml:space="preserve"> </w:t>
      </w:r>
      <w:r>
        <w:t xml:space="preserve">Per-tenant rule overrides allowing enterprises to layer custom policies onto the vertical baseline (e.g., higher signing thresholds, additional approval queues, custom data retention rules).</w:t>
      </w:r>
    </w:p>
    <w:p>
      <w:pPr>
        <w:pStyle w:val="Compact"/>
        <w:numPr>
          <w:ilvl w:val="1"/>
          <w:numId w:val="1055"/>
        </w:numPr>
      </w:pPr>
      <w:r>
        <w:rPr>
          <w:b/>
          <w:bCs/>
        </w:rPr>
        <w:t xml:space="preserve">Tier 4 (Per-Transaction Rules):</w:t>
      </w:r>
      <w:r>
        <w:t xml:space="preserve"> </w:t>
      </w:r>
      <w:r>
        <w:t xml:space="preserve">Transaction-specific rules layered onto the above for individual escrows, policies, or work products.</w:t>
      </w:r>
    </w:p>
    <w:p>
      <w:pPr>
        <w:numPr>
          <w:ilvl w:val="0"/>
          <w:numId w:val="1054"/>
        </w:numPr>
      </w:pPr>
      <w:r>
        <w:rPr>
          <w:b/>
          <w:bCs/>
        </w:rPr>
        <w:t xml:space="preserve">A rule composition engine</w:t>
      </w:r>
      <w:r>
        <w:t xml:space="preserve"> </w:t>
      </w:r>
      <w:r>
        <w:t xml:space="preserve">that combines applicable rules across the five tiers using deterministic algorithms with conflict resolution prioritizing the most-restrictive rule.</w:t>
      </w:r>
    </w:p>
    <w:p>
      <w:pPr>
        <w:numPr>
          <w:ilvl w:val="0"/>
          <w:numId w:val="1054"/>
        </w:numPr>
      </w:pPr>
      <w:r>
        <w:rPr>
          <w:b/>
          <w:bCs/>
        </w:rPr>
        <w:t xml:space="preserve">A rule registry storage layer</w:t>
      </w:r>
      <w:r>
        <w:t xml:space="preserve"> </w:t>
      </w:r>
      <w:r>
        <w:t xml:space="preserve">holding canonical rule definitions versioned by semantic version (major.minor.patch) with cryptographic content hashes, enabling rule sets to be addressed by version and verified for integrity.</w:t>
      </w:r>
    </w:p>
    <w:p>
      <w:pPr>
        <w:numPr>
          <w:ilvl w:val="0"/>
          <w:numId w:val="1054"/>
        </w:numPr>
      </w:pPr>
      <w:r>
        <w:rPr>
          <w:b/>
          <w:bCs/>
        </w:rPr>
        <w:t xml:space="preserve">A version-pinning mechanism</w:t>
      </w:r>
      <w:r>
        <w:t xml:space="preserve"> </w:t>
      </w:r>
      <w:r>
        <w:t xml:space="preserve">wherein at every governance event, the composed rule-set version is captured and persisted alongside the event, enabling reconstruction of the exact rules under which any historical action was governed.</w:t>
      </w:r>
    </w:p>
    <w:p>
      <w:pPr>
        <w:numPr>
          <w:ilvl w:val="0"/>
          <w:numId w:val="1054"/>
        </w:numPr>
      </w:pPr>
      <w:r>
        <w:rPr>
          <w:b/>
          <w:bCs/>
        </w:rPr>
        <w:t xml:space="preserve">A pre-publish constraint check service</w:t>
      </w:r>
      <w:r>
        <w:t xml:space="preserve"> </w:t>
      </w:r>
      <w:r>
        <w:t xml:space="preserve">that evaluates every proposed AI-Worker action with external consequences against the composed rule set, blocking violating actions or routing to human review based on configured rule severity.</w:t>
      </w:r>
    </w:p>
    <w:p>
      <w:pPr>
        <w:numPr>
          <w:ilvl w:val="0"/>
          <w:numId w:val="1054"/>
        </w:numPr>
      </w:pPr>
      <w:r>
        <w:rPr>
          <w:b/>
          <w:bCs/>
        </w:rPr>
        <w:t xml:space="preserve">A regulatory ingestion service</w:t>
      </w:r>
      <w:r>
        <w:t xml:space="preserve"> </w:t>
      </w:r>
      <w:r>
        <w:t xml:space="preserve">that automatically pulls updates from authoritative regulatory feeds (OFAC sanctions, SEC enforcement actions, federal/state regulatory updates per vertical) and incorporates them into the corresponding Tier 2 vertical baselines, with versioning and notification.</w:t>
      </w:r>
    </w:p>
    <w:p>
      <w:pPr>
        <w:numPr>
          <w:ilvl w:val="0"/>
          <w:numId w:val="1054"/>
        </w:numPr>
      </w:pPr>
      <w:r>
        <w:rPr>
          <w:b/>
          <w:bCs/>
        </w:rPr>
        <w:t xml:space="preserve">A hash-anchored cryptographic audit chain</w:t>
      </w:r>
      <w:r>
        <w:t xml:space="preserve"> </w:t>
      </w:r>
      <w:r>
        <w:t xml:space="preserve">wherein each governance event (rule evaluation result, AI-Worker output, action commit, version update) is serialized, hashed, signed by the platform, and anchored to a public blockchain (chain-agnostic; preferred embodiment Base) with the on-chain hash providing tamper-evidence and the full event payload retained off-chain for confidential audit.</w:t>
      </w:r>
    </w:p>
    <w:p>
      <w:pPr>
        <w:numPr>
          <w:ilvl w:val="0"/>
          <w:numId w:val="1054"/>
        </w:numPr>
      </w:pPr>
      <w:r>
        <w:rPr>
          <w:b/>
          <w:bCs/>
        </w:rPr>
        <w:t xml:space="preserve">Identity-anchored governance</w:t>
      </w:r>
      <w:r>
        <w:t xml:space="preserve"> </w:t>
      </w:r>
      <w:r>
        <w:t xml:space="preserve">wherein the user’s identity attestation (issued by a hosted identity rail) flows into the rule-set composition as a first-class input, with rules conditioned on verified attributes of the acting party (e.g., professional licensure, jurisdictional residency, sanctions status).</w:t>
      </w:r>
    </w:p>
    <w:p>
      <w:pPr>
        <w:numPr>
          <w:ilvl w:val="0"/>
          <w:numId w:val="1054"/>
        </w:numPr>
      </w:pPr>
      <w:r>
        <w:rPr>
          <w:b/>
          <w:bCs/>
        </w:rPr>
        <w:t xml:space="preserve">AI-Worker output validation</w:t>
      </w:r>
      <w:r>
        <w:t xml:space="preserve"> </w:t>
      </w:r>
      <w:r>
        <w:t xml:space="preserve">wherein every Digital Worker output is evaluated against the composed rule set before being persisted or returned, with violating outputs blocked, rewritten, or escalated.</w:t>
      </w:r>
    </w:p>
    <w:p>
      <w:pPr>
        <w:numPr>
          <w:ilvl w:val="0"/>
          <w:numId w:val="1054"/>
        </w:numPr>
      </w:pPr>
      <w:r>
        <w:rPr>
          <w:b/>
          <w:bCs/>
        </w:rPr>
        <w:t xml:space="preserve">A governance event API</w:t>
      </w:r>
      <w:r>
        <w:t xml:space="preserve"> </w:t>
      </w:r>
      <w:r>
        <w:t xml:space="preserve">providing structured access to the audit chain for authorized parties (regulators, courts, counterparties), with payload retrieval keyed by the on-chain hash anchor.</w:t>
      </w:r>
    </w:p>
    <w:p>
      <w:pPr>
        <w:pStyle w:val="FirstParagraph"/>
      </w:pPr>
      <w:r>
        <w:t xml:space="preserve">The System provides:</w:t>
      </w:r>
    </w:p>
    <w:p>
      <w:pPr>
        <w:pStyle w:val="Compact"/>
        <w:numPr>
          <w:ilvl w:val="0"/>
          <w:numId w:val="1056"/>
        </w:numPr>
      </w:pPr>
      <w:r>
        <w:rPr>
          <w:b/>
          <w:bCs/>
        </w:rPr>
        <w:t xml:space="preserve">Composable governance</w:t>
      </w:r>
      <w:r>
        <w:t xml:space="preserve"> </w:t>
      </w:r>
      <w:r>
        <w:t xml:space="preserve">allowing platform operators, regulators, enterprises, and end-users to layer rules additively without code changes;</w:t>
      </w:r>
    </w:p>
    <w:p>
      <w:pPr>
        <w:pStyle w:val="Compact"/>
        <w:numPr>
          <w:ilvl w:val="0"/>
          <w:numId w:val="1056"/>
        </w:numPr>
      </w:pPr>
      <w:r>
        <w:rPr>
          <w:b/>
          <w:bCs/>
        </w:rPr>
        <w:t xml:space="preserve">Deterministic conflict resolution</w:t>
      </w:r>
      <w:r>
        <w:t xml:space="preserve"> </w:t>
      </w:r>
      <w:r>
        <w:t xml:space="preserve">through most-restrictive prioritization;</w:t>
      </w:r>
    </w:p>
    <w:p>
      <w:pPr>
        <w:pStyle w:val="Compact"/>
        <w:numPr>
          <w:ilvl w:val="0"/>
          <w:numId w:val="1056"/>
        </w:numPr>
      </w:pPr>
      <w:r>
        <w:rPr>
          <w:b/>
          <w:bCs/>
        </w:rPr>
        <w:t xml:space="preserve">Reproducible audit</w:t>
      </w:r>
      <w:r>
        <w:t xml:space="preserve"> </w:t>
      </w:r>
      <w:r>
        <w:t xml:space="preserve">through version-pinning of rule sets at the time of each governance event;</w:t>
      </w:r>
    </w:p>
    <w:p>
      <w:pPr>
        <w:pStyle w:val="Compact"/>
        <w:numPr>
          <w:ilvl w:val="0"/>
          <w:numId w:val="1056"/>
        </w:numPr>
      </w:pPr>
      <w:r>
        <w:rPr>
          <w:b/>
          <w:bCs/>
        </w:rPr>
        <w:t xml:space="preserve">Tamper-evident audit trail</w:t>
      </w:r>
      <w:r>
        <w:t xml:space="preserve"> </w:t>
      </w:r>
      <w:r>
        <w:t xml:space="preserve">through the chain-agnostic hash-anchored audit chain;</w:t>
      </w:r>
    </w:p>
    <w:p>
      <w:pPr>
        <w:pStyle w:val="Compact"/>
        <w:numPr>
          <w:ilvl w:val="0"/>
          <w:numId w:val="1056"/>
        </w:numPr>
      </w:pPr>
      <w:r>
        <w:rPr>
          <w:b/>
          <w:bCs/>
        </w:rPr>
        <w:t xml:space="preserve">Automated regulatory updates</w:t>
      </w:r>
      <w:r>
        <w:t xml:space="preserve"> </w:t>
      </w:r>
      <w:r>
        <w:t xml:space="preserve">through the regulatory ingestion service;</w:t>
      </w:r>
    </w:p>
    <w:p>
      <w:pPr>
        <w:pStyle w:val="Compact"/>
        <w:numPr>
          <w:ilvl w:val="0"/>
          <w:numId w:val="1056"/>
        </w:numPr>
      </w:pPr>
      <w:r>
        <w:rPr>
          <w:b/>
          <w:bCs/>
        </w:rPr>
        <w:t xml:space="preserve">Pre-publish enforcement</w:t>
      </w:r>
      <w:r>
        <w:t xml:space="preserve"> </w:t>
      </w:r>
      <w:r>
        <w:t xml:space="preserve">preventing violating actions before they have external consequences;</w:t>
      </w:r>
    </w:p>
    <w:p>
      <w:pPr>
        <w:pStyle w:val="Compact"/>
        <w:numPr>
          <w:ilvl w:val="0"/>
          <w:numId w:val="1056"/>
        </w:numPr>
      </w:pPr>
      <w:r>
        <w:rPr>
          <w:b/>
          <w:bCs/>
        </w:rPr>
        <w:t xml:space="preserve">Identity-aware governance</w:t>
      </w:r>
      <w:r>
        <w:t xml:space="preserve"> </w:t>
      </w:r>
      <w:r>
        <w:t xml:space="preserve">binding user attestations into the governance evaluation;</w:t>
      </w:r>
    </w:p>
    <w:p>
      <w:pPr>
        <w:pStyle w:val="Compact"/>
        <w:numPr>
          <w:ilvl w:val="0"/>
          <w:numId w:val="1056"/>
        </w:numPr>
      </w:pPr>
      <w:r>
        <w:rPr>
          <w:b/>
          <w:bCs/>
        </w:rPr>
        <w:t xml:space="preserve">Cross-vertical applicability</w:t>
      </w:r>
      <w:r>
        <w:t xml:space="preserve"> </w:t>
      </w:r>
      <w:r>
        <w:t xml:space="preserve">with the same architectural pattern serving real estate, securities, healthcare, aviation, automotive, government, and any other domain with rule-based compliance requirements.</w:t>
      </w:r>
    </w:p>
    <w:p>
      <w:r>
        <w:pict>
          <v:rect style="width:0;height:1.5pt" o:hralign="center" o:hrstd="t" o:hr="t"/>
        </w:pict>
      </w:r>
    </w:p>
    <w:bookmarkEnd w:id="123"/>
    <w:bookmarkStart w:id="128" w:name="detailed-description-of-embodiments-5"/>
    <w:p>
      <w:pPr>
        <w:pStyle w:val="Heading2"/>
      </w:pPr>
      <w:r>
        <w:t xml:space="preserve">DETAILED DESCRIPTION OF EMBODIMENTS</w:t>
      </w:r>
    </w:p>
    <w:bookmarkStart w:id="124" w:name="system-architecture-overview-2"/>
    <w:p>
      <w:pPr>
        <w:pStyle w:val="Heading3"/>
      </w:pPr>
      <w:r>
        <w:t xml:space="preserve">System Architecture Overview</w:t>
      </w:r>
    </w:p>
    <w:p>
      <w:pPr>
        <w:pStyle w:val="FirstParagraph"/>
      </w:pPr>
      <w:r>
        <w:t xml:space="preserve">The System comprises a distributed architecture with the following principal components, deployable as a SaaS platform, on-premises enterprise system, or hybrid configuration.</w:t>
      </w:r>
    </w:p>
    <w:p>
      <w:pPr>
        <w:pStyle w:val="BodyText"/>
      </w:pPr>
      <w:r>
        <w:rPr>
          <w:b/>
          <w:bCs/>
        </w:rPr>
        <w:t xml:space="preserve">1. The Rule Registry.</w:t>
      </w:r>
      <w:r>
        <w:t xml:space="preserve"> </w:t>
      </w:r>
      <w:r>
        <w:t xml:space="preserve">A canonical, append-only storage layer holding all rule definitions. Each rule is a structured object containing:</w:t>
      </w:r>
      <w:r>
        <w:t xml:space="preserve"> </w:t>
      </w:r>
      <w:r>
        <w:t xml:space="preserve">- A unique identifier (UUID);</w:t>
      </w:r>
      <w:r>
        <w:t xml:space="preserve"> </w:t>
      </w:r>
      <w:r>
        <w:t xml:space="preserve">- A rule type code (e.g.,</w:t>
      </w:r>
      <w:r>
        <w:t xml:space="preserve"> </w:t>
      </w:r>
      <w:r>
        <w:rPr>
          <w:rStyle w:val="VerbatimChar"/>
        </w:rPr>
        <w:t xml:space="preserve">safety_invariant</w:t>
      </w:r>
      <w:r>
        <w:t xml:space="preserve">,</w:t>
      </w:r>
      <w:r>
        <w:t xml:space="preserve"> </w:t>
      </w:r>
      <w:r>
        <w:rPr>
          <w:rStyle w:val="VerbatimChar"/>
        </w:rPr>
        <w:t xml:space="preserve">operational_rule</w:t>
      </w:r>
      <w:r>
        <w:t xml:space="preserve">,</w:t>
      </w:r>
      <w:r>
        <w:t xml:space="preserve"> </w:t>
      </w:r>
      <w:r>
        <w:rPr>
          <w:rStyle w:val="VerbatimChar"/>
        </w:rPr>
        <w:t xml:space="preserve">vertical_baseline</w:t>
      </w:r>
      <w:r>
        <w:t xml:space="preserve">,</w:t>
      </w:r>
      <w:r>
        <w:t xml:space="preserve"> </w:t>
      </w:r>
      <w:r>
        <w:rPr>
          <w:rStyle w:val="VerbatimChar"/>
        </w:rPr>
        <w:t xml:space="preserve">workspace_overlay</w:t>
      </w:r>
      <w:r>
        <w:t xml:space="preserve">,</w:t>
      </w:r>
      <w:r>
        <w:t xml:space="preserve"> </w:t>
      </w:r>
      <w:r>
        <w:rPr>
          <w:rStyle w:val="VerbatimChar"/>
        </w:rPr>
        <w:t xml:space="preserve">transaction_rule</w:t>
      </w:r>
      <w:r>
        <w:t xml:space="preserve">);</w:t>
      </w:r>
      <w:r>
        <w:t xml:space="preserve"> </w:t>
      </w:r>
      <w:r>
        <w:t xml:space="preserve">- A tier assignment (0 through 4);</w:t>
      </w:r>
      <w:r>
        <w:t xml:space="preserve"> </w:t>
      </w:r>
      <w:r>
        <w:t xml:space="preserve">- A semantic version (major.minor.patch);</w:t>
      </w:r>
      <w:r>
        <w:t xml:space="preserve"> </w:t>
      </w:r>
      <w:r>
        <w:t xml:space="preserve">- A content hash (SHA-256 of the rule body);</w:t>
      </w:r>
      <w:r>
        <w:t xml:space="preserve"> </w:t>
      </w:r>
      <w:r>
        <w:t xml:space="preserve">- A predicate or set of predicates defining the rule’s evaluation logic;</w:t>
      </w:r>
      <w:r>
        <w:t xml:space="preserve"> </w:t>
      </w:r>
      <w:r>
        <w:t xml:space="preserve">- A severity level (</w:t>
      </w:r>
      <w:r>
        <w:rPr>
          <w:rStyle w:val="VerbatimChar"/>
        </w:rPr>
        <w:t xml:space="preserve">hard_stop</w:t>
      </w:r>
      <w:r>
        <w:t xml:space="preserve">,</w:t>
      </w:r>
      <w:r>
        <w:t xml:space="preserve"> </w:t>
      </w:r>
      <w:r>
        <w:rPr>
          <w:rStyle w:val="VerbatimChar"/>
        </w:rPr>
        <w:t xml:space="preserve">soft_stop</w:t>
      </w:r>
      <w:r>
        <w:t xml:space="preserve">,</w:t>
      </w:r>
      <w:r>
        <w:t xml:space="preserve"> </w:t>
      </w:r>
      <w:r>
        <w:rPr>
          <w:rStyle w:val="VerbatimChar"/>
        </w:rPr>
        <w:t xml:space="preserve">warning</w:t>
      </w:r>
      <w:r>
        <w:t xml:space="preserve">,</w:t>
      </w:r>
      <w:r>
        <w:t xml:space="preserve"> </w:t>
      </w:r>
      <w:r>
        <w:rPr>
          <w:rStyle w:val="VerbatimChar"/>
        </w:rPr>
        <w:t xml:space="preserve">informational</w:t>
      </w:r>
      <w:r>
        <w:t xml:space="preserve">);</w:t>
      </w:r>
      <w:r>
        <w:t xml:space="preserve"> </w:t>
      </w:r>
      <w:r>
        <w:t xml:space="preserve">- A jurisdiction or scope (where the rule applies);</w:t>
      </w:r>
      <w:r>
        <w:t xml:space="preserve"> </w:t>
      </w:r>
      <w:r>
        <w:t xml:space="preserve">- Metadata (creation date, author, prior version, related rules);</w:t>
      </w:r>
      <w:r>
        <w:t xml:space="preserve"> </w:t>
      </w:r>
      <w:r>
        <w:t xml:space="preserve">- A retirement marker (rules are never deleted, only marked retired with a successor reference).</w:t>
      </w:r>
    </w:p>
    <w:p>
      <w:pPr>
        <w:pStyle w:val="BodyText"/>
      </w:pPr>
      <w:r>
        <w:t xml:space="preserve">Rules are addressable by ID, by content hash, by version, or by scope query (e.g.,</w:t>
      </w:r>
      <w:r>
        <w:t xml:space="preserve"> </w:t>
      </w:r>
      <w:r>
        <w:t xml:space="preserve">“all Tier 2 real-estate rules effective for California”</w:t>
      </w:r>
      <w:r>
        <w:t xml:space="preserve">).</w:t>
      </w:r>
    </w:p>
    <w:p>
      <w:pPr>
        <w:pStyle w:val="BodyText"/>
      </w:pPr>
      <w:r>
        <w:rPr>
          <w:b/>
          <w:bCs/>
        </w:rPr>
        <w:t xml:space="preserve">2. The Rule Composition Engine.</w:t>
      </w:r>
      <w:r>
        <w:t xml:space="preserve"> </w:t>
      </w:r>
      <w:r>
        <w:t xml:space="preserve">Given a governance event context (the acting Digital Worker, the target vertical, the workspace, the transaction, the acting user’s identity attestation, the jurisdiction), the engine computes the composed rule set by:</w:t>
      </w:r>
      <w:r>
        <w:t xml:space="preserve"> </w:t>
      </w:r>
      <w:r>
        <w:t xml:space="preserve">- Loading all Tier 0 platform safety rules (always applied);</w:t>
      </w:r>
      <w:r>
        <w:t xml:space="preserve"> </w:t>
      </w:r>
      <w:r>
        <w:t xml:space="preserve">- Loading all Tier 1 operational rules applicable to the worker and the user’s role;</w:t>
      </w:r>
      <w:r>
        <w:t xml:space="preserve"> </w:t>
      </w:r>
      <w:r>
        <w:t xml:space="preserve">- Loading all Tier 2 vertical baseline rules for the target vertical and jurisdiction;</w:t>
      </w:r>
      <w:r>
        <w:t xml:space="preserve"> </w:t>
      </w:r>
      <w:r>
        <w:t xml:space="preserve">- Loading all Tier 3 workspace overlays for the acting workspace;</w:t>
      </w:r>
      <w:r>
        <w:t xml:space="preserve"> </w:t>
      </w:r>
      <w:r>
        <w:t xml:space="preserve">- Loading all Tier 4 transaction rules attached to the current transaction;</w:t>
      </w:r>
      <w:r>
        <w:t xml:space="preserve"> </w:t>
      </w:r>
      <w:r>
        <w:t xml:space="preserve">- Detecting conflicts (rules whose predicates would produce different outcomes for the same input);</w:t>
      </w:r>
      <w:r>
        <w:t xml:space="preserve"> </w:t>
      </w:r>
      <w:r>
        <w:t xml:space="preserve">- Resolving conflicts using most-restrictive prioritization (the rule producing the stricter outcome wins);</w:t>
      </w:r>
      <w:r>
        <w:t xml:space="preserve"> </w:t>
      </w:r>
      <w:r>
        <w:t xml:space="preserve">- Computing a composition hash representing the full composed rule set, used for version pinning.</w:t>
      </w:r>
    </w:p>
    <w:p>
      <w:pPr>
        <w:pStyle w:val="BodyText"/>
      </w:pPr>
      <w:r>
        <w:t xml:space="preserve">The composition is deterministic: given the same inputs, the same composed rule set and the same composition hash are produced. This enables version-pinning.</w:t>
      </w:r>
    </w:p>
    <w:p>
      <w:pPr>
        <w:pStyle w:val="BodyText"/>
      </w:pPr>
      <w:r>
        <w:rPr>
          <w:b/>
          <w:bCs/>
        </w:rPr>
        <w:t xml:space="preserve">3. The Version Pinning Mechanism.</w:t>
      </w:r>
      <w:r>
        <w:t xml:space="preserve"> </w:t>
      </w:r>
      <w:r>
        <w:t xml:space="preserve">At every governance event:</w:t>
      </w:r>
      <w:r>
        <w:t xml:space="preserve"> </w:t>
      </w:r>
      <w:r>
        <w:t xml:space="preserve">- The composed rule-set hash is captured and persisted alongside the event;</w:t>
      </w:r>
      <w:r>
        <w:t xml:space="preserve"> </w:t>
      </w:r>
      <w:r>
        <w:t xml:space="preserve">- For multi-step processes (escrows, policies, workflows that span multiple events), the rule-set version may be pinned at process initiation and held constant for the lifetime of the process — even if individual underlying rules update — to ensure the process completes under its initial rule contract;</w:t>
      </w:r>
      <w:r>
        <w:t xml:space="preserve"> </w:t>
      </w:r>
      <w:r>
        <w:t xml:space="preserve">- Alternatively, the version may be re-evaluated at each event for processes that should adapt to rule updates;</w:t>
      </w:r>
      <w:r>
        <w:t xml:space="preserve"> </w:t>
      </w:r>
      <w:r>
        <w:t xml:space="preserve">- The pinning policy (pin-at-initiation vs. re-evaluate-each-event) is itself a rule, allowing different verticals to adopt different policies.</w:t>
      </w:r>
    </w:p>
    <w:p>
      <w:pPr>
        <w:pStyle w:val="BodyText"/>
      </w:pPr>
      <w:r>
        <w:rPr>
          <w:b/>
          <w:bCs/>
        </w:rPr>
        <w:t xml:space="preserve">4. The Pre-Publish Constraint Check Service.</w:t>
      </w:r>
      <w:r>
        <w:t xml:space="preserve"> </w:t>
      </w:r>
      <w:r>
        <w:t xml:space="preserve">Before any AI-Worker action with external consequences executes (sending an email, transferring funds, modifying a record, posting to a public ledger, generating a customer-visible document), the System runs a structured check:</w:t>
      </w:r>
      <w:r>
        <w:t xml:space="preserve"> </w:t>
      </w:r>
      <w:r>
        <w:t xml:space="preserve">- Compose the rule set for the proposed action’s context;</w:t>
      </w:r>
      <w:r>
        <w:t xml:space="preserve"> </w:t>
      </w:r>
      <w:r>
        <w:t xml:space="preserve">- Evaluate each rule’s predicate against the proposed action’s payload;</w:t>
      </w:r>
      <w:r>
        <w:t xml:space="preserve"> </w:t>
      </w:r>
      <w:r>
        <w:t xml:space="preserve">- Aggregate the outcomes;</w:t>
      </w:r>
      <w:r>
        <w:t xml:space="preserve"> </w:t>
      </w:r>
      <w:r>
        <w:t xml:space="preserve">- If any</w:t>
      </w:r>
      <w:r>
        <w:t xml:space="preserve"> </w:t>
      </w:r>
      <w:r>
        <w:rPr>
          <w:rStyle w:val="VerbatimChar"/>
        </w:rPr>
        <w:t xml:space="preserve">hard_stop</w:t>
      </w:r>
      <w:r>
        <w:t xml:space="preserve"> </w:t>
      </w:r>
      <w:r>
        <w:t xml:space="preserve">rule evaluates as violated, block the action (hard fail);</w:t>
      </w:r>
      <w:r>
        <w:t xml:space="preserve"> </w:t>
      </w:r>
      <w:r>
        <w:t xml:space="preserve">- If any</w:t>
      </w:r>
      <w:r>
        <w:t xml:space="preserve"> </w:t>
      </w:r>
      <w:r>
        <w:rPr>
          <w:rStyle w:val="VerbatimChar"/>
        </w:rPr>
        <w:t xml:space="preserve">soft_stop</w:t>
      </w:r>
      <w:r>
        <w:t xml:space="preserve"> </w:t>
      </w:r>
      <w:r>
        <w:t xml:space="preserve">rule evaluates as violated, route the action to a human review queue (soft fail);</w:t>
      </w:r>
      <w:r>
        <w:t xml:space="preserve"> </w:t>
      </w:r>
      <w:r>
        <w:t xml:space="preserve">- If any</w:t>
      </w:r>
      <w:r>
        <w:t xml:space="preserve"> </w:t>
      </w:r>
      <w:r>
        <w:rPr>
          <w:rStyle w:val="VerbatimChar"/>
        </w:rPr>
        <w:t xml:space="preserve">warning</w:t>
      </w:r>
      <w:r>
        <w:t xml:space="preserve"> </w:t>
      </w:r>
      <w:r>
        <w:t xml:space="preserve">rules evaluate, log the warning and proceed;</w:t>
      </w:r>
      <w:r>
        <w:t xml:space="preserve"> </w:t>
      </w:r>
      <w:r>
        <w:t xml:space="preserve">- Persist the evaluation result with the composition hash and the rule-by-rule outcomes to the audit chain.</w:t>
      </w:r>
    </w:p>
    <w:p>
      <w:pPr>
        <w:pStyle w:val="BodyText"/>
      </w:pPr>
      <w:r>
        <w:t xml:space="preserve">The pre-publish check is the System’s primary enforcement mechanism. By evaluating</w:t>
      </w:r>
      <w:r>
        <w:t xml:space="preserve"> </w:t>
      </w:r>
      <w:r>
        <w:rPr>
          <w:i/>
          <w:iCs/>
        </w:rPr>
        <w:t xml:space="preserve">before</w:t>
      </w:r>
      <w:r>
        <w:t xml:space="preserve"> </w:t>
      </w:r>
      <w:r>
        <w:t xml:space="preserve">externalization, the System prevents violating actions from having external consequences that cannot be undone.</w:t>
      </w:r>
    </w:p>
    <w:p>
      <w:pPr>
        <w:pStyle w:val="BodyText"/>
      </w:pPr>
      <w:r>
        <w:rPr>
          <w:b/>
          <w:bCs/>
        </w:rPr>
        <w:t xml:space="preserve">5. The Regulatory Ingestion Service.</w:t>
      </w:r>
      <w:r>
        <w:t xml:space="preserve"> </w:t>
      </w:r>
      <w:r>
        <w:t xml:space="preserve">Automated pulls from regulatory feeds:</w:t>
      </w:r>
      <w:r>
        <w:t xml:space="preserve"> </w:t>
      </w:r>
      <w:r>
        <w:t xml:space="preserve">-</w:t>
      </w:r>
      <w:r>
        <w:t xml:space="preserve"> </w:t>
      </w:r>
      <w:r>
        <w:rPr>
          <w:i/>
          <w:iCs/>
        </w:rPr>
        <w:t xml:space="preserve">OFAC Specially Designated Nationals List:</w:t>
      </w:r>
      <w:r>
        <w:t xml:space="preserve"> </w:t>
      </w:r>
      <w:r>
        <w:t xml:space="preserve">Daily polling, with new entries triggering immediate updates to sanctions-screening rules in affected verticals (financial, real estate, securities).</w:t>
      </w:r>
      <w:r>
        <w:t xml:space="preserve"> </w:t>
      </w:r>
      <w:r>
        <w:t xml:space="preserve">-</w:t>
      </w:r>
      <w:r>
        <w:t xml:space="preserve"> </w:t>
      </w:r>
      <w:r>
        <w:rPr>
          <w:i/>
          <w:iCs/>
        </w:rPr>
        <w:t xml:space="preserve">SEC enforcement actions:</w:t>
      </w:r>
      <w:r>
        <w:t xml:space="preserve"> </w:t>
      </w:r>
      <w:r>
        <w:t xml:space="preserve">Daily polling, with new actions flagged in securities-vertical rule sets.</w:t>
      </w:r>
      <w:r>
        <w:t xml:space="preserve"> </w:t>
      </w:r>
      <w:r>
        <w:t xml:space="preserve">-</w:t>
      </w:r>
      <w:r>
        <w:t xml:space="preserve"> </w:t>
      </w:r>
      <w:r>
        <w:rPr>
          <w:i/>
          <w:iCs/>
        </w:rPr>
        <w:t xml:space="preserve">Federal Register:</w:t>
      </w:r>
      <w:r>
        <w:t xml:space="preserve"> </w:t>
      </w:r>
      <w:r>
        <w:t xml:space="preserve">Daily polling, with new rules in regulated industries (healthcare, aviation, transportation) parsed and surfaced for human-in-the-loop incorporation into Tier 2 baselines.</w:t>
      </w:r>
      <w:r>
        <w:t xml:space="preserve"> </w:t>
      </w:r>
      <w:r>
        <w:t xml:space="preserve">-</w:t>
      </w:r>
      <w:r>
        <w:t xml:space="preserve"> </w:t>
      </w:r>
      <w:r>
        <w:rPr>
          <w:i/>
          <w:iCs/>
        </w:rPr>
        <w:t xml:space="preserve">State and local registries:</w:t>
      </w:r>
      <w:r>
        <w:t xml:space="preserve"> </w:t>
      </w:r>
      <w:r>
        <w:t xml:space="preserve">Per-jurisdiction polling for property records, licensing changes, regulatory updates.</w:t>
      </w:r>
      <w:r>
        <w:t xml:space="preserve"> </w:t>
      </w:r>
      <w:r>
        <w:t xml:space="preserve">-</w:t>
      </w:r>
      <w:r>
        <w:t xml:space="preserve"> </w:t>
      </w:r>
      <w:r>
        <w:rPr>
          <w:i/>
          <w:iCs/>
        </w:rPr>
        <w:t xml:space="preserve">Industry-specific feeds:</w:t>
      </w:r>
      <w:r>
        <w:t xml:space="preserve"> </w:t>
      </w:r>
      <w:r>
        <w:t xml:space="preserve">FAA airworthiness directives, FDA drug recalls, NHTSA vehicle recalls, USPTO patent grants, etc.</w:t>
      </w:r>
    </w:p>
    <w:p>
      <w:pPr>
        <w:pStyle w:val="BodyText"/>
      </w:pPr>
      <w:r>
        <w:t xml:space="preserve">Each ingested update generates a candidate rule update. Updates flagged as routine (e.g., a new entry on a sanctions list) auto-publish to the affected Tier 2 baseline. Updates flagged as substantive (e.g., a new regulatory framework) are surfaced to a human review queue with the relevant rule diffs.</w:t>
      </w:r>
    </w:p>
    <w:p>
      <w:pPr>
        <w:pStyle w:val="BodyText"/>
      </w:pPr>
      <w:r>
        <w:rPr>
          <w:b/>
          <w:bCs/>
        </w:rPr>
        <w:t xml:space="preserve">6. The Audit Chain.</w:t>
      </w:r>
      <w:r>
        <w:t xml:space="preserve"> </w:t>
      </w:r>
      <w:r>
        <w:t xml:space="preserve">Identical to the audit chains described in Filings A and B: each governance event is hashed, signed, anchored on a public blockchain, with the full event payload retained off-chain. For the present invention, the event payload specifically includes:</w:t>
      </w:r>
      <w:r>
        <w:t xml:space="preserve"> </w:t>
      </w:r>
      <w:r>
        <w:t xml:space="preserve">- The composition hash of the rule set in effect;</w:t>
      </w:r>
      <w:r>
        <w:t xml:space="preserve"> </w:t>
      </w:r>
      <w:r>
        <w:t xml:space="preserve">- The acting Digital Worker identifier;</w:t>
      </w:r>
      <w:r>
        <w:t xml:space="preserve"> </w:t>
      </w:r>
      <w:r>
        <w:t xml:space="preserve">- The acting user’s identity attestation reference;</w:t>
      </w:r>
      <w:r>
        <w:t xml:space="preserve"> </w:t>
      </w:r>
      <w:r>
        <w:t xml:space="preserve">- The proposed action payload (what the worker wanted to do);</w:t>
      </w:r>
      <w:r>
        <w:t xml:space="preserve"> </w:t>
      </w:r>
      <w:r>
        <w:t xml:space="preserve">- The rule-by-rule evaluation outcome;</w:t>
      </w:r>
      <w:r>
        <w:t xml:space="preserve"> </w:t>
      </w:r>
      <w:r>
        <w:t xml:space="preserve">- The final action outcome (executed, blocked, routed to review);</w:t>
      </w:r>
      <w:r>
        <w:t xml:space="preserve"> </w:t>
      </w:r>
      <w:r>
        <w:t xml:space="preserve">- The timestamp.</w:t>
      </w:r>
    </w:p>
    <w:p>
      <w:pPr>
        <w:pStyle w:val="BodyText"/>
      </w:pPr>
      <w:r>
        <w:t xml:space="preserve">This enables reconstruction of the exact governance state for any historical event.</w:t>
      </w:r>
    </w:p>
    <w:p>
      <w:pPr>
        <w:pStyle w:val="BodyText"/>
      </w:pPr>
      <w:r>
        <w:rPr>
          <w:b/>
          <w:bCs/>
        </w:rPr>
        <w:t xml:space="preserve">7. The Identity Anchoring Layer.</w:t>
      </w:r>
      <w:r>
        <w:t xml:space="preserve"> </w:t>
      </w:r>
      <w:r>
        <w:t xml:space="preserve">Identity attestations issued by a hosted identity rail (Stripe Identity, Coinbase Verified, or similar third-party providers) are bound to user platform identities and flow into the rule-set composition as first-class inputs:</w:t>
      </w:r>
      <w:r>
        <w:t xml:space="preserve"> </w:t>
      </w:r>
      <w:r>
        <w:t xml:space="preserve">- Rules may be conditioned on verified attributes (licensure, residency, sanctions status, jurisdiction);</w:t>
      </w:r>
      <w:r>
        <w:t xml:space="preserve"> </w:t>
      </w:r>
      <w:r>
        <w:t xml:space="preserve">- Identity attestations are themselves recorded as child logbook entries on the user’s parent DTC;</w:t>
      </w:r>
      <w:r>
        <w:t xml:space="preserve"> </w:t>
      </w:r>
      <w:r>
        <w:t xml:space="preserve">- The identity attestation reference is included in every governance event payload, providing a cryptographic chain from action → composed rules → identity.</w:t>
      </w:r>
    </w:p>
    <w:p>
      <w:pPr>
        <w:pStyle w:val="BodyText"/>
      </w:pPr>
      <w:r>
        <w:rPr>
          <w:b/>
          <w:bCs/>
        </w:rPr>
        <w:t xml:space="preserve">8. The AI-Worker Output Validation Layer.</w:t>
      </w:r>
      <w:r>
        <w:t xml:space="preserve"> </w:t>
      </w:r>
      <w:r>
        <w:t xml:space="preserve">Every output produced by every Digital Worker is evaluated against the composed rule set before persistence or return:</w:t>
      </w:r>
      <w:r>
        <w:t xml:space="preserve"> </w:t>
      </w:r>
      <w:r>
        <w:t xml:space="preserve">- Outputs that violate</w:t>
      </w:r>
      <w:r>
        <w:t xml:space="preserve"> </w:t>
      </w:r>
      <w:r>
        <w:rPr>
          <w:rStyle w:val="VerbatimChar"/>
        </w:rPr>
        <w:t xml:space="preserve">hard_stop</w:t>
      </w:r>
      <w:r>
        <w:t xml:space="preserve"> </w:t>
      </w:r>
      <w:r>
        <w:t xml:space="preserve">rules are blocked;</w:t>
      </w:r>
      <w:r>
        <w:t xml:space="preserve"> </w:t>
      </w:r>
      <w:r>
        <w:t xml:space="preserve">- Outputs that violate</w:t>
      </w:r>
      <w:r>
        <w:t xml:space="preserve"> </w:t>
      </w:r>
      <w:r>
        <w:rPr>
          <w:rStyle w:val="VerbatimChar"/>
        </w:rPr>
        <w:t xml:space="preserve">soft_stop</w:t>
      </w:r>
      <w:r>
        <w:t xml:space="preserve"> </w:t>
      </w:r>
      <w:r>
        <w:t xml:space="preserve">rules may be rewritten by a designated rewriter Worker or routed to human review;</w:t>
      </w:r>
      <w:r>
        <w:t xml:space="preserve"> </w:t>
      </w:r>
      <w:r>
        <w:t xml:space="preserve">- Outputs that emit content prohibited by safety rules (e.g., professional impersonation, financial advice without disclosure) are rewritten or blocked;</w:t>
      </w:r>
      <w:r>
        <w:t xml:space="preserve"> </w:t>
      </w:r>
      <w:r>
        <w:t xml:space="preserve">- Validation occurs at the same enforcement point as the pre-publish check, ensuring consistency.</w:t>
      </w:r>
    </w:p>
    <w:bookmarkEnd w:id="124"/>
    <w:bookmarkStart w:id="125" w:name="governance-event-lifecycle"/>
    <w:p>
      <w:pPr>
        <w:pStyle w:val="Heading3"/>
      </w:pPr>
      <w:r>
        <w:t xml:space="preserve">Governance Event Lifecycle</w:t>
      </w:r>
    </w:p>
    <w:p>
      <w:pPr>
        <w:pStyle w:val="FirstParagraph"/>
      </w:pPr>
      <w:r>
        <w:t xml:space="preserve">A representative governance event proceeds as follows:</w:t>
      </w:r>
    </w:p>
    <w:p>
      <w:pPr>
        <w:numPr>
          <w:ilvl w:val="0"/>
          <w:numId w:val="1057"/>
        </w:numPr>
      </w:pPr>
      <w:r>
        <w:rPr>
          <w:b/>
          <w:bCs/>
        </w:rPr>
        <w:t xml:space="preserve">Context establishment.</w:t>
      </w:r>
      <w:r>
        <w:t xml:space="preserve"> </w:t>
      </w:r>
      <w:r>
        <w:t xml:space="preserve">A Digital Worker is invoked to perform an action (e.g., generate a marketing email, propose a transaction, produce a report). The context is established: worker ID, target vertical, workspace, transaction (if applicable), acting user with their identity attestation, jurisdiction.</w:t>
      </w:r>
    </w:p>
    <w:p>
      <w:pPr>
        <w:numPr>
          <w:ilvl w:val="0"/>
          <w:numId w:val="1057"/>
        </w:numPr>
      </w:pPr>
      <w:r>
        <w:rPr>
          <w:b/>
          <w:bCs/>
        </w:rPr>
        <w:t xml:space="preserve">Rule composition.</w:t>
      </w:r>
      <w:r>
        <w:t xml:space="preserve"> </w:t>
      </w:r>
      <w:r>
        <w:t xml:space="preserve">The composition engine assembles the applicable rule set across all five tiers, resolves conflicts, and computes the composition hash.</w:t>
      </w:r>
    </w:p>
    <w:p>
      <w:pPr>
        <w:numPr>
          <w:ilvl w:val="0"/>
          <w:numId w:val="1057"/>
        </w:numPr>
      </w:pPr>
      <w:r>
        <w:rPr>
          <w:b/>
          <w:bCs/>
        </w:rPr>
        <w:t xml:space="preserve">Worker execution under rules.</w:t>
      </w:r>
      <w:r>
        <w:t xml:space="preserve"> </w:t>
      </w:r>
      <w:r>
        <w:t xml:space="preserve">The Digital Worker executes its function with the composed rules provided as constraints. State-of-the-art LLM-based workers receive the rules as system-prompt content; structured workers reference rules through API calls.</w:t>
      </w:r>
    </w:p>
    <w:p>
      <w:pPr>
        <w:numPr>
          <w:ilvl w:val="0"/>
          <w:numId w:val="1057"/>
        </w:numPr>
      </w:pPr>
      <w:r>
        <w:rPr>
          <w:b/>
          <w:bCs/>
        </w:rPr>
        <w:t xml:space="preserve">Output validation.</w:t>
      </w:r>
      <w:r>
        <w:t xml:space="preserve"> </w:t>
      </w:r>
      <w:r>
        <w:t xml:space="preserve">The worker’s output is evaluated against each rule. Violations are flagged with severity.</w:t>
      </w:r>
    </w:p>
    <w:p>
      <w:pPr>
        <w:numPr>
          <w:ilvl w:val="0"/>
          <w:numId w:val="1057"/>
        </w:numPr>
      </w:pPr>
      <w:r>
        <w:rPr>
          <w:b/>
          <w:bCs/>
        </w:rPr>
        <w:t xml:space="preserve">Pre-publish check.</w:t>
      </w:r>
      <w:r>
        <w:t xml:space="preserve"> </w:t>
      </w:r>
      <w:r>
        <w:t xml:space="preserve">If the worker proposed an external action (send email, mint NFT, transfer funds), the pre-publish check evaluates the action against the composed rules independently of the worker’s self-evaluation.</w:t>
      </w:r>
    </w:p>
    <w:p>
      <w:pPr>
        <w:numPr>
          <w:ilvl w:val="0"/>
          <w:numId w:val="1057"/>
        </w:numPr>
      </w:pPr>
      <w:r>
        <w:rPr>
          <w:b/>
          <w:bCs/>
        </w:rPr>
        <w:t xml:space="preserve">Action decision.</w:t>
      </w:r>
      <w:r>
        <w:t xml:space="preserve"> </w:t>
      </w:r>
      <w:r>
        <w:t xml:space="preserve">Based on the validation and pre-publish outcomes, the action either executes, blocks, or routes to human review.</w:t>
      </w:r>
    </w:p>
    <w:p>
      <w:pPr>
        <w:numPr>
          <w:ilvl w:val="0"/>
          <w:numId w:val="1057"/>
        </w:numPr>
      </w:pPr>
      <w:r>
        <w:rPr>
          <w:b/>
          <w:bCs/>
        </w:rPr>
        <w:t xml:space="preserve">Audit chain anchoring.</w:t>
      </w:r>
      <w:r>
        <w:t xml:space="preserve"> </w:t>
      </w:r>
      <w:r>
        <w:t xml:space="preserve">The full event — context, composition hash, rule evaluations, worker output, action outcome — is serialized, hashed, signed, and anchored on-chain. The full payload is retained off-chain.</w:t>
      </w:r>
    </w:p>
    <w:p>
      <w:pPr>
        <w:numPr>
          <w:ilvl w:val="0"/>
          <w:numId w:val="1057"/>
        </w:numPr>
      </w:pPr>
      <w:r>
        <w:rPr>
          <w:b/>
          <w:bCs/>
        </w:rPr>
        <w:t xml:space="preserve">Notification.</w:t>
      </w:r>
      <w:r>
        <w:t xml:space="preserve"> </w:t>
      </w:r>
      <w:r>
        <w:t xml:space="preserve">Where rules require, parties are notified (e.g., a regulator subscribed to vertical updates may be notified of a Hard-Stop block).</w:t>
      </w:r>
    </w:p>
    <w:bookmarkEnd w:id="125"/>
    <w:bookmarkStart w:id="126" w:name="cross-vertical-applications"/>
    <w:p>
      <w:pPr>
        <w:pStyle w:val="Heading3"/>
      </w:pPr>
      <w:r>
        <w:t xml:space="preserve">Cross-Vertical Applications</w:t>
      </w:r>
    </w:p>
    <w:p>
      <w:pPr>
        <w:pStyle w:val="FirstParagraph"/>
      </w:pPr>
      <w:r>
        <w:t xml:space="preserve">The same architectural pattern serves multiple verticals:</w:t>
      </w:r>
    </w:p>
    <w:p>
      <w:pPr>
        <w:pStyle w:val="BodyText"/>
      </w:pPr>
      <w:r>
        <w:rPr>
          <w:b/>
          <w:bCs/>
        </w:rPr>
        <w:t xml:space="preserve">Real Estate:</w:t>
      </w:r>
      <w:r>
        <w:t xml:space="preserve"> </w:t>
      </w:r>
      <w:r>
        <w:t xml:space="preserve">Tier 2 rules encode state-by-state title transfer requirements, recordation rules, disclosure obligations, environmental restrictions. Tier 3 overlays may add MLS-specific rules or brokerage policies. Tier 4 rules attach to specific transactions.</w:t>
      </w:r>
    </w:p>
    <w:p>
      <w:pPr>
        <w:pStyle w:val="BodyText"/>
      </w:pPr>
      <w:r>
        <w:rPr>
          <w:b/>
          <w:bCs/>
        </w:rPr>
        <w:t xml:space="preserve">Securities and Finance:</w:t>
      </w:r>
      <w:r>
        <w:t xml:space="preserve"> </w:t>
      </w:r>
      <w:r>
        <w:t xml:space="preserve">Tier 2 rules encode SEC requirements, FINRA rules, blue sky law variations. The pre-publish check ensures no offering material is published without proper registration or exemption documentation.</w:t>
      </w:r>
    </w:p>
    <w:p>
      <w:pPr>
        <w:pStyle w:val="BodyText"/>
      </w:pPr>
      <w:r>
        <w:rPr>
          <w:b/>
          <w:bCs/>
        </w:rPr>
        <w:t xml:space="preserve">Healthcare:</w:t>
      </w:r>
      <w:r>
        <w:t xml:space="preserve"> </w:t>
      </w:r>
      <w:r>
        <w:t xml:space="preserve">Tier 2 rules encode HIPAA, HITECH, state medical board rules. Pre-publish checks ensure no patient data is exposed in worker outputs.</w:t>
      </w:r>
    </w:p>
    <w:p>
      <w:pPr>
        <w:pStyle w:val="BodyText"/>
      </w:pPr>
      <w:r>
        <w:rPr>
          <w:b/>
          <w:bCs/>
        </w:rPr>
        <w:t xml:space="preserve">Aviation:</w:t>
      </w:r>
      <w:r>
        <w:t xml:space="preserve"> </w:t>
      </w:r>
      <w:r>
        <w:t xml:space="preserve">Tier 2 rules encode FAA Part 91, Part 135, Part 121 requirements with type-specific overlays for individual aircraft. CoPilot workers (referenced in related work by inventor) operate under these rules.</w:t>
      </w:r>
    </w:p>
    <w:p>
      <w:pPr>
        <w:pStyle w:val="BodyText"/>
      </w:pPr>
      <w:r>
        <w:rPr>
          <w:b/>
          <w:bCs/>
        </w:rPr>
        <w:t xml:space="preserve">Government Contracting:</w:t>
      </w:r>
      <w:r>
        <w:t xml:space="preserve"> </w:t>
      </w:r>
      <w:r>
        <w:t xml:space="preserve">Tier 2 rules encode FAR/DFARS, OFCCP requirements, set-aside program rules. Pre-publish checks ensure no compliance violations in proposal generation.</w:t>
      </w:r>
    </w:p>
    <w:p>
      <w:pPr>
        <w:pStyle w:val="BodyText"/>
      </w:pPr>
      <w:r>
        <w:rPr>
          <w:b/>
          <w:bCs/>
        </w:rPr>
        <w:t xml:space="preserve">Automotive (dealer operations):</w:t>
      </w:r>
      <w:r>
        <w:t xml:space="preserve"> </w:t>
      </w:r>
      <w:r>
        <w:t xml:space="preserve">Tier 2 rules encode state DMV rules, F&amp;I compliance, advertising rules. Pre-publish checks block ad copy that violates state advertising regulations.</w:t>
      </w:r>
    </w:p>
    <w:p>
      <w:pPr>
        <w:pStyle w:val="BodyText"/>
      </w:pPr>
      <w:r>
        <w:t xml:space="preserve">The architecture’s value scales with the number of supported verticals: a single platform can serve any rule-governed industry with the same composition engine, pre-publish check, audit chain, and regulatory ingestion service.</w:t>
      </w:r>
    </w:p>
    <w:bookmarkEnd w:id="126"/>
    <w:bookmarkStart w:id="127" w:name="variations-and-embodiments-3"/>
    <w:p>
      <w:pPr>
        <w:pStyle w:val="Heading3"/>
      </w:pPr>
      <w:r>
        <w:t xml:space="preserve">Variations and Embodiments</w:t>
      </w:r>
    </w:p>
    <w:p>
      <w:pPr>
        <w:pStyle w:val="FirstParagraph"/>
      </w:pPr>
      <w:r>
        <w:rPr>
          <w:b/>
          <w:bCs/>
        </w:rPr>
        <w:t xml:space="preserve">Deployment configurations.</w:t>
      </w:r>
      <w:r>
        <w:t xml:space="preserve"> </w:t>
      </w:r>
      <w:r>
        <w:t xml:space="preserve">The System may be deployed as a SaaS platform (preferred embodiment), as on-premises enterprise software (for regulated industries with data residency requirements), or as a hybrid (where the rule registry and composition engine are on-premises but the audit chain anchor uses a public blockchain).</w:t>
      </w:r>
    </w:p>
    <w:p>
      <w:pPr>
        <w:pStyle w:val="BodyText"/>
      </w:pPr>
      <w:r>
        <w:rPr>
          <w:b/>
          <w:bCs/>
        </w:rPr>
        <w:t xml:space="preserve">Chain-agnostic operation.</w:t>
      </w:r>
      <w:r>
        <w:t xml:space="preserve"> </w:t>
      </w:r>
      <w:r>
        <w:t xml:space="preserve">Preferred embodiment anchors to Base. Alternative embodiments include Ethereum, Polygon, Solana, Avalanche, Hyperledger Fabric (for permissioned-chain deployments), and others.</w:t>
      </w:r>
    </w:p>
    <w:p>
      <w:pPr>
        <w:pStyle w:val="BodyText"/>
      </w:pPr>
      <w:r>
        <w:rPr>
          <w:b/>
          <w:bCs/>
        </w:rPr>
        <w:t xml:space="preserve">Open-source rule registry.</w:t>
      </w:r>
      <w:r>
        <w:t xml:space="preserve"> </w:t>
      </w:r>
      <w:r>
        <w:t xml:space="preserve">The Tier 2 vertical baseline rules may be published as open-source rule sets, allowing community contributions and regulator verification. The Tier 0-1 platform rules and the System’s enforcement infrastructure remain proprietary.</w:t>
      </w:r>
    </w:p>
    <w:p>
      <w:pPr>
        <w:pStyle w:val="BodyText"/>
      </w:pPr>
      <w:r>
        <w:rPr>
          <w:b/>
          <w:bCs/>
        </w:rPr>
        <w:t xml:space="preserve">Rule diff visualization.</w:t>
      </w:r>
      <w:r>
        <w:t xml:space="preserve"> </w:t>
      </w:r>
      <w:r>
        <w:t xml:space="preserve">A user interface presenting before/after diffs of rule updates, enabling stakeholders to review changes before they propagate.</w:t>
      </w:r>
    </w:p>
    <w:p>
      <w:pPr>
        <w:pStyle w:val="BodyText"/>
      </w:pPr>
      <w:r>
        <w:rPr>
          <w:b/>
          <w:bCs/>
        </w:rPr>
        <w:t xml:space="preserve">Constitutional rules.</w:t>
      </w:r>
      <w:r>
        <w:t xml:space="preserve"> </w:t>
      </w:r>
      <w:r>
        <w:t xml:space="preserve">A subset of Tier 0 rules designated as</w:t>
      </w:r>
      <w:r>
        <w:t xml:space="preserve"> </w:t>
      </w:r>
      <w:r>
        <w:t xml:space="preserve">“constitutional”</w:t>
      </w:r>
      <w:r>
        <w:t xml:space="preserve"> </w:t>
      </w:r>
      <w:r>
        <w:t xml:space="preserve">— immutable across all System versions and requiring an extraordinary process (e.g., multi-signature governance vote) to modify. These provide ultimate platform-trust guarantees.</w:t>
      </w:r>
    </w:p>
    <w:p>
      <w:pPr>
        <w:pStyle w:val="BodyText"/>
      </w:pPr>
      <w:r>
        <w:rPr>
          <w:b/>
          <w:bCs/>
        </w:rPr>
        <w:t xml:space="preserve">Identity attestation reuse.</w:t>
      </w:r>
      <w:r>
        <w:t xml:space="preserve"> </w:t>
      </w:r>
      <w:r>
        <w:t xml:space="preserve">A user verified for one transaction may reuse the attestation for subsequent transactions, subject to expiration, revocation, and material-change triggers.</w:t>
      </w:r>
    </w:p>
    <w:p>
      <w:pPr>
        <w:pStyle w:val="BodyText"/>
      </w:pPr>
      <w:r>
        <w:rPr>
          <w:b/>
          <w:bCs/>
        </w:rPr>
        <w:t xml:space="preserve">Multi-language rule definitions.</w:t>
      </w:r>
      <w:r>
        <w:t xml:space="preserve"> </w:t>
      </w:r>
      <w:r>
        <w:t xml:space="preserve">Rule predicates may be expressed in domain-specific languages (DSLs) optimized for each vertical (e.g., a finance DSL for SEC rules, an aviation DSL for FAA airworthiness rules) and compiled to a uniform internal representation for evaluation.</w:t>
      </w:r>
    </w:p>
    <w:p>
      <w:pPr>
        <w:pStyle w:val="BodyText"/>
      </w:pPr>
      <w:r>
        <w:rPr>
          <w:b/>
          <w:bCs/>
        </w:rPr>
        <w:t xml:space="preserve">Cross-platform rule federation.</w:t>
      </w:r>
      <w:r>
        <w:t xml:space="preserve"> </w:t>
      </w:r>
      <w:r>
        <w:t xml:space="preserve">Multiple deployments of the System may federate their rule registries, enabling shared rule sets across enterprises (e.g., an industry consortium maintaining shared compliance rules).</w:t>
      </w:r>
    </w:p>
    <w:p>
      <w:r>
        <w:pict>
          <v:rect style="width:0;height:1.5pt" o:hralign="center" o:hrstd="t" o:hr="t"/>
        </w:pict>
      </w:r>
    </w:p>
    <w:bookmarkEnd w:id="127"/>
    <w:bookmarkEnd w:id="128"/>
    <w:bookmarkStart w:id="129" w:name="brief-description-of-the-drawings-5"/>
    <w:p>
      <w:pPr>
        <w:pStyle w:val="Heading2"/>
      </w:pPr>
      <w:r>
        <w:t xml:space="preserve">BRIEF DESCRIPTION OF THE DRAWINGS</w:t>
      </w:r>
    </w:p>
    <w:p>
      <w:pPr>
        <w:pStyle w:val="FirstParagraph"/>
      </w:pPr>
      <w:r>
        <w:t xml:space="preserve">(To be supplied with formal drawings prior to filing.)</w:t>
      </w:r>
    </w:p>
    <w:p>
      <w:pPr>
        <w:pStyle w:val="BodyText"/>
      </w:pPr>
      <w:r>
        <w:rPr>
          <w:b/>
          <w:bCs/>
        </w:rPr>
        <w:t xml:space="preserve">Figure 1:</w:t>
      </w:r>
      <w:r>
        <w:t xml:space="preserve"> </w:t>
      </w:r>
      <w:r>
        <w:t xml:space="preserve">System architecture overview showing the Rule Registry, Composition Engine, Version Pinning Mechanism, Pre-Publish Constraint Check, Regulatory Ingestion Service, Audit Chain, Identity Anchoring Layer, and AI-Worker Output Validation.</w:t>
      </w:r>
    </w:p>
    <w:p>
      <w:pPr>
        <w:pStyle w:val="BodyText"/>
      </w:pPr>
      <w:r>
        <w:rPr>
          <w:b/>
          <w:bCs/>
        </w:rPr>
        <w:t xml:space="preserve">Figure 2:</w:t>
      </w:r>
      <w:r>
        <w:t xml:space="preserve"> </w:t>
      </w:r>
      <w:r>
        <w:t xml:space="preserve">Multi-tier rule architecture diagram showing the five tiers (Platform Safety, Platform Operations, Vertical Baselines, Workspace Overlays, Per-Transaction Rules) with example rules at each tier.</w:t>
      </w:r>
    </w:p>
    <w:p>
      <w:pPr>
        <w:pStyle w:val="BodyText"/>
      </w:pPr>
      <w:r>
        <w:rPr>
          <w:b/>
          <w:bCs/>
        </w:rPr>
        <w:t xml:space="preserve">Figure 3:</w:t>
      </w:r>
      <w:r>
        <w:t xml:space="preserve"> </w:t>
      </w:r>
      <w:r>
        <w:t xml:space="preserve">Rule composition algorithm flow showing the inputs (context, applicable rules), the composition step, conflict resolution by most-restrictive prioritization, and the output (composed rule set + composition hash).</w:t>
      </w:r>
    </w:p>
    <w:p>
      <w:pPr>
        <w:pStyle w:val="BodyText"/>
      </w:pPr>
      <w:r>
        <w:rPr>
          <w:b/>
          <w:bCs/>
        </w:rPr>
        <w:t xml:space="preserve">Figure 4:</w:t>
      </w:r>
      <w:r>
        <w:t xml:space="preserve"> </w:t>
      </w:r>
      <w:r>
        <w:t xml:space="preserve">Governance event lifecycle showing the eight stages from context establishment through audit chain anchoring.</w:t>
      </w:r>
    </w:p>
    <w:p>
      <w:pPr>
        <w:pStyle w:val="BodyText"/>
      </w:pPr>
      <w:r>
        <w:rPr>
          <w:b/>
          <w:bCs/>
        </w:rPr>
        <w:t xml:space="preserve">Figure 5:</w:t>
      </w:r>
      <w:r>
        <w:t xml:space="preserve"> </w:t>
      </w:r>
      <w:r>
        <w:t xml:space="preserve">Pre-publish constraint check decision tree showing hard-stop, soft-stop, and warning paths.</w:t>
      </w:r>
    </w:p>
    <w:p>
      <w:pPr>
        <w:pStyle w:val="BodyText"/>
      </w:pPr>
      <w:r>
        <w:rPr>
          <w:b/>
          <w:bCs/>
        </w:rPr>
        <w:t xml:space="preserve">Figure 6:</w:t>
      </w:r>
      <w:r>
        <w:t xml:space="preserve"> </w:t>
      </w:r>
      <w:r>
        <w:t xml:space="preserve">Regulatory ingestion service architecture showing the polling of regulatory feeds, the candidate-update generation, and the routing of routine vs. substantive updates.</w:t>
      </w:r>
    </w:p>
    <w:p>
      <w:pPr>
        <w:pStyle w:val="BodyText"/>
      </w:pPr>
      <w:r>
        <w:rPr>
          <w:b/>
          <w:bCs/>
        </w:rPr>
        <w:t xml:space="preserve">Figure 7:</w:t>
      </w:r>
      <w:r>
        <w:t xml:space="preserve"> </w:t>
      </w:r>
      <w:r>
        <w:t xml:space="preserve">Audit chain anchoring detail showing the event payload, the hash, the on-chain anchor, and the off-chain retention.</w:t>
      </w:r>
    </w:p>
    <w:p>
      <w:pPr>
        <w:pStyle w:val="BodyText"/>
      </w:pPr>
      <w:r>
        <w:rPr>
          <w:b/>
          <w:bCs/>
        </w:rPr>
        <w:t xml:space="preserve">Figure 8:</w:t>
      </w:r>
      <w:r>
        <w:t xml:space="preserve"> </w:t>
      </w:r>
      <w:r>
        <w:t xml:space="preserve">Identity anchoring flow showing how identity attestations from a hosted identity rail flow into rule-set composition.</w:t>
      </w:r>
    </w:p>
    <w:p>
      <w:pPr>
        <w:pStyle w:val="BodyText"/>
      </w:pPr>
      <w:r>
        <w:rPr>
          <w:b/>
          <w:bCs/>
        </w:rPr>
        <w:t xml:space="preserve">Figure 9:</w:t>
      </w:r>
      <w:r>
        <w:t xml:space="preserve"> </w:t>
      </w:r>
      <w:r>
        <w:t xml:space="preserve">Cross-vertical application matrix showing how the same architecture serves real estate, securities, healthcare, aviation, government contracting, and automotive verticals.</w:t>
      </w:r>
    </w:p>
    <w:p>
      <w:r>
        <w:pict>
          <v:rect style="width:0;height:1.5pt" o:hralign="center" o:hrstd="t" o:hr="t"/>
        </w:pict>
      </w:r>
    </w:p>
    <w:bookmarkEnd w:id="129"/>
    <w:bookmarkStart w:id="130" w:name="claims-5"/>
    <w:p>
      <w:pPr>
        <w:pStyle w:val="Heading2"/>
      </w:pPr>
      <w:r>
        <w:t xml:space="preserve">CLAIMS</w:t>
      </w:r>
    </w:p>
    <w:p>
      <w:pPr>
        <w:pStyle w:val="FirstParagraph"/>
      </w:pPr>
      <w:r>
        <w:t xml:space="preserve">(Provisional claims; non-limiting.)</w:t>
      </w:r>
    </w:p>
    <w:p>
      <w:pPr>
        <w:pStyle w:val="BodyText"/>
      </w:pPr>
      <w:r>
        <w:rPr>
          <w:b/>
          <w:bCs/>
        </w:rPr>
        <w:t xml:space="preserve">Claim 1.</w:t>
      </w:r>
      <w:r>
        <w:t xml:space="preserve"> </w:t>
      </w:r>
      <w:r>
        <w:t xml:space="preserve">A computer-implemented system for governing artificial-intelligence-powered software agents, the system comprising:</w:t>
      </w:r>
      <w:r>
        <w:t xml:space="preserve"> </w:t>
      </w:r>
      <w:r>
        <w:t xml:space="preserve">(a) a rule registry storage layer holding rule definitions versioned by semantic version and identified by cryptographic content hash;</w:t>
      </w:r>
      <w:r>
        <w:t xml:space="preserve"> </w:t>
      </w:r>
      <w:r>
        <w:t xml:space="preserve">(b) a multi-tier rule architecture organizing rules into a plurality of tiers comprising platform safety, platform operations, vertical baselines, workspace overlays, and per-transaction rules;</w:t>
      </w:r>
      <w:r>
        <w:t xml:space="preserve"> </w:t>
      </w:r>
      <w:r>
        <w:t xml:space="preserve">(c) a rule composition engine that, given a governance event context, assembles applicable rules across the tiers, detects conflicts, and resolves conflicts by prioritizing the most-restrictive rule;</w:t>
      </w:r>
      <w:r>
        <w:t xml:space="preserve"> </w:t>
      </w:r>
      <w:r>
        <w:t xml:space="preserve">(d) a version-pinning mechanism wherein the composed rule-set hash is captured and persisted alongside each governance event;</w:t>
      </w:r>
      <w:r>
        <w:t xml:space="preserve"> </w:t>
      </w:r>
      <w:r>
        <w:t xml:space="preserve">(e) a pre-publish constraint check service that evaluates proposed external actions against the composed rule set before execution, blocking violations or routing to human review by severity;</w:t>
      </w:r>
      <w:r>
        <w:t xml:space="preserve"> </w:t>
      </w:r>
      <w:r>
        <w:t xml:space="preserve">(f) a regulatory ingestion service that automatically polls regulatory feeds and incorporates updates into vertical baseline rule sets with versioning;</w:t>
      </w:r>
      <w:r>
        <w:t xml:space="preserve"> </w:t>
      </w:r>
      <w:r>
        <w:t xml:space="preserve">(g) a cryptographic audit chain wherein governance events are hashed, signed, and anchored to a public blockchain while the underlying event payload including the composition hash is retained off-chain;</w:t>
      </w:r>
      <w:r>
        <w:t xml:space="preserve"> </w:t>
      </w:r>
      <w:r>
        <w:t xml:space="preserve">(h) an identity anchoring layer wherein identity attestations from a hosted identity rail flow into rule-set composition as first-class inputs; and</w:t>
      </w:r>
      <w:r>
        <w:t xml:space="preserve"> </w:t>
      </w:r>
      <w:r>
        <w:t xml:space="preserve">(i) an artificial-intelligence-powered software agent output validation layer wherein agent outputs are evaluated against the composed rule set before persistence or return.</w:t>
      </w:r>
    </w:p>
    <w:p>
      <w:pPr>
        <w:pStyle w:val="BodyText"/>
      </w:pPr>
      <w:r>
        <w:rPr>
          <w:b/>
          <w:bCs/>
        </w:rPr>
        <w:t xml:space="preserve">Claim 2.</w:t>
      </w:r>
      <w:r>
        <w:t xml:space="preserve"> </w:t>
      </w:r>
      <w:r>
        <w:t xml:space="preserve">The system of Claim 1, wherein the multi-tier rule architecture comprises exactly five tiers, ordered from most-restrictive-and-immutable to most-flexible-and-transactional.</w:t>
      </w:r>
    </w:p>
    <w:p>
      <w:pPr>
        <w:pStyle w:val="BodyText"/>
      </w:pPr>
      <w:r>
        <w:rPr>
          <w:b/>
          <w:bCs/>
        </w:rPr>
        <w:t xml:space="preserve">Claim 3.</w:t>
      </w:r>
      <w:r>
        <w:t xml:space="preserve"> </w:t>
      </w:r>
      <w:r>
        <w:t xml:space="preserve">The system of Claim 1, wherein the rule composition engine produces a composition hash that is deterministic across re-evaluations of the same inputs, enabling version-pinning.</w:t>
      </w:r>
    </w:p>
    <w:p>
      <w:pPr>
        <w:pStyle w:val="BodyText"/>
      </w:pPr>
      <w:r>
        <w:rPr>
          <w:b/>
          <w:bCs/>
        </w:rPr>
        <w:t xml:space="preserve">Claim 4.</w:t>
      </w:r>
      <w:r>
        <w:t xml:space="preserve"> </w:t>
      </w:r>
      <w:r>
        <w:t xml:space="preserve">The system of Claim 1, wherein the pre-publish constraint check distinguishes between hard-stop rules (blocking execution), soft-stop rules (routing to human review), warning rules (logging only), and informational rules (no enforcement).</w:t>
      </w:r>
    </w:p>
    <w:p>
      <w:pPr>
        <w:pStyle w:val="BodyText"/>
      </w:pPr>
      <w:r>
        <w:rPr>
          <w:b/>
          <w:bCs/>
        </w:rPr>
        <w:t xml:space="preserve">Claim 5.</w:t>
      </w:r>
      <w:r>
        <w:t xml:space="preserve"> </w:t>
      </w:r>
      <w:r>
        <w:t xml:space="preserve">The system of Claim 1, wherein the regulatory ingestion service polls feeds including but not limited to OFAC Specially Designated Nationals List, SEC enforcement actions, Federal Register notices, FAA airworthiness directives, FDA recalls, NHTSA recalls, and USPTO patent grants, with auto-publication of routine updates and human review of substantive updates.</w:t>
      </w:r>
    </w:p>
    <w:p>
      <w:pPr>
        <w:pStyle w:val="BodyText"/>
      </w:pPr>
      <w:r>
        <w:rPr>
          <w:b/>
          <w:bCs/>
        </w:rPr>
        <w:t xml:space="preserve">Claim 6.</w:t>
      </w:r>
      <w:r>
        <w:t xml:space="preserve"> </w:t>
      </w:r>
      <w:r>
        <w:t xml:space="preserve">The system of Claim 1, wherein the cryptographic audit chain is chain-agnostic with embodiments including Base, Ethereum, Polygon, Solana, Avalanche, and permissioned Hyperledger Fabric.</w:t>
      </w:r>
    </w:p>
    <w:p>
      <w:pPr>
        <w:pStyle w:val="BodyText"/>
      </w:pPr>
      <w:r>
        <w:rPr>
          <w:b/>
          <w:bCs/>
        </w:rPr>
        <w:t xml:space="preserve">Claim 7.</w:t>
      </w:r>
      <w:r>
        <w:t xml:space="preserve"> </w:t>
      </w:r>
      <w:r>
        <w:t xml:space="preserve">The system of Claim 1, wherein rules at any tier may be conditioned on verified attributes of the acting user provided by the identity anchoring layer.</w:t>
      </w:r>
    </w:p>
    <w:p>
      <w:pPr>
        <w:pStyle w:val="BodyText"/>
      </w:pPr>
      <w:r>
        <w:rPr>
          <w:b/>
          <w:bCs/>
        </w:rPr>
        <w:t xml:space="preserve">Claim 8.</w:t>
      </w:r>
      <w:r>
        <w:t xml:space="preserve"> </w:t>
      </w:r>
      <w:r>
        <w:t xml:space="preserve">A method for governing an artificial-intelligence-powered software agent action, the method comprising:</w:t>
      </w:r>
      <w:r>
        <w:t xml:space="preserve"> </w:t>
      </w:r>
      <w:r>
        <w:t xml:space="preserve">(a) establishing a governance event context including the agent identifier, target vertical, workspace, transaction reference (if applicable), acting user identity attestation, and jurisdiction;</w:t>
      </w:r>
      <w:r>
        <w:t xml:space="preserve"> </w:t>
      </w:r>
      <w:r>
        <w:t xml:space="preserve">(b) composing the applicable rule set across the multi-tier architecture with conflict resolution by most-restrictive prioritization;</w:t>
      </w:r>
      <w:r>
        <w:t xml:space="preserve"> </w:t>
      </w:r>
      <w:r>
        <w:t xml:space="preserve">(c) computing a composition hash;</w:t>
      </w:r>
      <w:r>
        <w:t xml:space="preserve"> </w:t>
      </w:r>
      <w:r>
        <w:t xml:space="preserve">(d) providing the composed rules to the agent as constraints during execution;</w:t>
      </w:r>
      <w:r>
        <w:t xml:space="preserve"> </w:t>
      </w:r>
      <w:r>
        <w:t xml:space="preserve">(e) evaluating the agent’s output against the composed rule set;</w:t>
      </w:r>
      <w:r>
        <w:t xml:space="preserve"> </w:t>
      </w:r>
      <w:r>
        <w:t xml:space="preserve">(f) for proposed external actions, executing the pre-publish constraint check;</w:t>
      </w:r>
      <w:r>
        <w:t xml:space="preserve"> </w:t>
      </w:r>
      <w:r>
        <w:t xml:space="preserve">(g) deciding to execute, block, or route to human review based on the evaluation outcome;</w:t>
      </w:r>
      <w:r>
        <w:t xml:space="preserve"> </w:t>
      </w:r>
      <w:r>
        <w:t xml:space="preserve">(h) serializing the full governance event including context, composition hash, evaluation, and outcome;</w:t>
      </w:r>
      <w:r>
        <w:t xml:space="preserve"> </w:t>
      </w:r>
      <w:r>
        <w:t xml:space="preserve">(i) hashing, signing, and anchoring the serialized event to a public blockchain; and</w:t>
      </w:r>
      <w:r>
        <w:t xml:space="preserve"> </w:t>
      </w:r>
      <w:r>
        <w:t xml:space="preserve">(j) retaining the full event payload in append-only off-chain storage.</w:t>
      </w:r>
    </w:p>
    <w:p>
      <w:pPr>
        <w:pStyle w:val="BodyText"/>
      </w:pPr>
      <w:r>
        <w:rPr>
          <w:b/>
          <w:bCs/>
        </w:rPr>
        <w:t xml:space="preserve">Claim 9.</w:t>
      </w:r>
      <w:r>
        <w:t xml:space="preserve"> </w:t>
      </w:r>
      <w:r>
        <w:t xml:space="preserve">The method of Claim 8, wherein for multi-step processes spanning multiple governance events, the composition hash is captured at process initiation and held constant for the process lifetime to ensure the process completes under its initial rule contract.</w:t>
      </w:r>
    </w:p>
    <w:p>
      <w:pPr>
        <w:pStyle w:val="BodyText"/>
      </w:pPr>
      <w:r>
        <w:rPr>
          <w:b/>
          <w:bCs/>
        </w:rPr>
        <w:t xml:space="preserve">Claim 10.</w:t>
      </w:r>
      <w:r>
        <w:t xml:space="preserve"> </w:t>
      </w:r>
      <w:r>
        <w:t xml:space="preserve">The method of Claim 8, wherein for adaptive processes, the composition hash is re-evaluated at each event to ensure the process adapts to rule updates.</w:t>
      </w:r>
    </w:p>
    <w:p>
      <w:pPr>
        <w:pStyle w:val="BodyText"/>
      </w:pPr>
      <w:r>
        <w:rPr>
          <w:b/>
          <w:bCs/>
        </w:rPr>
        <w:t xml:space="preserve">Claim 11.</w:t>
      </w:r>
      <w:r>
        <w:t xml:space="preserve"> </w:t>
      </w:r>
      <w:r>
        <w:t xml:space="preserve">The system of Claim 1, applied to securities transactions wherein the vertical baseline rules encode SEC requirements, FINRA rules, and blue sky law variations, and the pre-publish constraint check ensures no offering material is published without proper registration or exemption documentation.</w:t>
      </w:r>
    </w:p>
    <w:p>
      <w:pPr>
        <w:pStyle w:val="BodyText"/>
      </w:pPr>
      <w:r>
        <w:rPr>
          <w:b/>
          <w:bCs/>
        </w:rPr>
        <w:t xml:space="preserve">Claim 12.</w:t>
      </w:r>
      <w:r>
        <w:t xml:space="preserve"> </w:t>
      </w:r>
      <w:r>
        <w:t xml:space="preserve">The system of Claim 1, applied to healthcare workflows wherein the vertical baseline rules encode HIPAA, HITECH, and state medical board rules, and the pre-publish constraint check ensures no patient data is exposed in agent outputs.</w:t>
      </w:r>
    </w:p>
    <w:p>
      <w:pPr>
        <w:pStyle w:val="BodyText"/>
      </w:pPr>
      <w:r>
        <w:rPr>
          <w:b/>
          <w:bCs/>
        </w:rPr>
        <w:t xml:space="preserve">Claim 13.</w:t>
      </w:r>
      <w:r>
        <w:t xml:space="preserve"> </w:t>
      </w:r>
      <w:r>
        <w:t xml:space="preserve">The system of Claim 1, applied to real estate transactions wherein the vertical baseline rules encode state-by-state title transfer requirements, recordation rules, disclosure obligations, and environmental restrictions.</w:t>
      </w:r>
    </w:p>
    <w:p>
      <w:pPr>
        <w:pStyle w:val="BodyText"/>
      </w:pPr>
      <w:r>
        <w:rPr>
          <w:b/>
          <w:bCs/>
        </w:rPr>
        <w:t xml:space="preserve">Claim 14.</w:t>
      </w:r>
      <w:r>
        <w:t xml:space="preserve"> </w:t>
      </w:r>
      <w:r>
        <w:t xml:space="preserve">The system of Claim 1, applied to aviation operations wherein the vertical baseline rules encode FAA Part 91, Part 135, and Part 121 requirements with type-specific overlays for individual aircraft.</w:t>
      </w:r>
    </w:p>
    <w:p>
      <w:pPr>
        <w:pStyle w:val="BodyText"/>
      </w:pPr>
      <w:r>
        <w:rPr>
          <w:b/>
          <w:bCs/>
        </w:rPr>
        <w:t xml:space="preserve">Claim 15.</w:t>
      </w:r>
      <w:r>
        <w:t xml:space="preserve"> </w:t>
      </w:r>
      <w:r>
        <w:t xml:space="preserve">The system of Claim 1, applied to automotive dealer operations wherein the vertical baseline rules encode state DMV rules, F&amp;I compliance, and state advertising regulations.</w:t>
      </w:r>
    </w:p>
    <w:p>
      <w:pPr>
        <w:pStyle w:val="BodyText"/>
      </w:pPr>
      <w:r>
        <w:rPr>
          <w:b/>
          <w:bCs/>
        </w:rPr>
        <w:t xml:space="preserve">Claim 16.</w:t>
      </w:r>
      <w:r>
        <w:t xml:space="preserve"> </w:t>
      </w:r>
      <w:r>
        <w:t xml:space="preserve">The system of Claim 1, applied to government contracting wherein the vertical baseline rules encode FAR/DFARS, OFCCP requirements, and set-aside program rules.</w:t>
      </w:r>
    </w:p>
    <w:p>
      <w:pPr>
        <w:pStyle w:val="BodyText"/>
      </w:pPr>
      <w:r>
        <w:rPr>
          <w:b/>
          <w:bCs/>
        </w:rPr>
        <w:t xml:space="preserve">Claim 17.</w:t>
      </w:r>
      <w:r>
        <w:t xml:space="preserve"> </w:t>
      </w:r>
      <w:r>
        <w:t xml:space="preserve">The system of Claim 1, wherein a subset of Tier 0 rules is designated constitutional and immutable, requiring an extraordinary multi-signature governance process to modify, providing ultimate platform-trust guarantees.</w:t>
      </w:r>
    </w:p>
    <w:p>
      <w:pPr>
        <w:pStyle w:val="BodyText"/>
      </w:pPr>
      <w:r>
        <w:rPr>
          <w:b/>
          <w:bCs/>
        </w:rPr>
        <w:t xml:space="preserve">Claim 18.</w:t>
      </w:r>
      <w:r>
        <w:t xml:space="preserve"> </w:t>
      </w:r>
      <w:r>
        <w:t xml:space="preserve">The system of Claim 1, wherein multiple deployments of the system federate their rule registries to enable shared rule sets across enterprises in an industry consortium.</w:t>
      </w:r>
    </w:p>
    <w:p>
      <w:r>
        <w:pict>
          <v:rect style="width:0;height:1.5pt" o:hralign="center" o:hrstd="t" o:hr="t"/>
        </w:pict>
      </w:r>
    </w:p>
    <w:bookmarkEnd w:id="130"/>
    <w:bookmarkStart w:id="131" w:name="abstract-5"/>
    <w:p>
      <w:pPr>
        <w:pStyle w:val="Heading2"/>
      </w:pPr>
      <w:r>
        <w:t xml:space="preserve">ABSTRACT</w:t>
      </w:r>
    </w:p>
    <w:p>
      <w:pPr>
        <w:pStyle w:val="FirstParagraph"/>
      </w:pPr>
      <w:r>
        <w:t xml:space="preserve">A Multi-Tier Composable Rule-Based Governance System for AI-powered Digital Workers, comprising a rule registry holding versioned and content-hashed rule definitions, a five-tier rule architecture (platform safety, platform operations, vertical baselines, workspace overlays, per-transaction rules), a composition engine with deterministic conflict resolution prioritizing most-restrictive rules, a version-pinning mechanism capturing the composed rule-set hash at each governance event, a pre-publish constraint check service evaluating proposed external actions before execution with severity-based blocking or human review routing, an automated regulatory ingestion service polling authoritative feeds (OFAC, SEC, Federal Register, industry-specific) and incorporating updates into vertical baselines, a chain-agnostic hash-anchored cryptographic audit chain providing tamper-evident proof-of-existence for every governance event, an identity anchoring layer wherein identity attestations flow into rule-set composition as first-class inputs, and an AI-Worker output validation layer enforcing rules on agent outputs before persistence. The System extends the foundational parent-child Digital Title Certificate architecture (cited as prior art) by providing the governance layer that determines what AI-powered actions are permitted, under what rules, with what audit accountability. The same architectural pattern serves real estate, securities, healthcare, aviation, automotive, government contracting, and other rule-governed verticals. Deterministic version-pinning enables reconstruction of the exact rules under which any historical governance event was decided, supporting regulatory inquiry, legal dispute resolution, and audit. The System closes the governance gap in existing AI agent frameworks by providing structured, composable, version-pinned, audit-trailed, identity-anchored, and pre-publish-enforced rule-based governance.</w:t>
      </w:r>
    </w:p>
    <w:p>
      <w:r>
        <w:pict>
          <v:rect style="width:0;height:1.5pt" o:hralign="center" o:hrstd="t" o:hr="t"/>
        </w:pict>
      </w:r>
    </w:p>
    <w:bookmarkEnd w:id="131"/>
    <w:bookmarkStart w:id="132" w:name="inventorship-and-assignment-notes-5"/>
    <w:p>
      <w:pPr>
        <w:pStyle w:val="Heading2"/>
      </w:pPr>
      <w:r>
        <w:t xml:space="preserve">INVENTORSHIP AND ASSIGNMENT NOTES</w:t>
      </w:r>
    </w:p>
    <w:p>
      <w:pPr>
        <w:pStyle w:val="FirstParagraph"/>
      </w:pPr>
      <w:r>
        <w:rPr>
          <w:b/>
          <w:bCs/>
        </w:rPr>
        <w:t xml:space="preserve">Named Inventor:</w:t>
      </w:r>
      <w:r>
        <w:t xml:space="preserve"> </w:t>
      </w:r>
      <w:r>
        <w:t xml:space="preserve">Sean Lee Combs, sole inventor.</w:t>
      </w:r>
    </w:p>
    <w:p>
      <w:pPr>
        <w:pStyle w:val="BodyText"/>
      </w:pPr>
      <w:r>
        <w:rPr>
          <w:b/>
          <w:bCs/>
        </w:rPr>
        <w:t xml:space="preserve">Applicant:</w:t>
      </w:r>
      <w:r>
        <w:t xml:space="preserve"> </w:t>
      </w:r>
      <w:r>
        <w:t xml:space="preserve">SOCIII Inc., a Delaware C-corporation.</w:t>
      </w:r>
    </w:p>
    <w:p>
      <w:pPr>
        <w:pStyle w:val="BodyText"/>
      </w:pPr>
      <w:r>
        <w:rPr>
          <w:b/>
          <w:bCs/>
        </w:rPr>
        <w:t xml:space="preserve">Architectural Significance:</w:t>
      </w:r>
      <w:r>
        <w:t xml:space="preserve"> </w:t>
      </w:r>
      <w:r>
        <w:t xml:space="preserve">This filing represents the structural moat patent for the SOCIII platform. While Filings A (AI Escrow Locker) and B (Title and Property Assurance) extend prior art parent-child DTC architecture with system-level compositions for specific applications, Filing C establishes intellectual property protection for the multi-tier composable rule governance pattern itself — the architectural innovation that enables every other Digital Worker deployment on the platform. Copying any single component of this filing (e.g., a regulatory ingestion service alone, or a hash-anchored audit chain alone) does not infringe; copying the composition of multi-tier rules + version pinning + pre-publish enforcement + identity anchoring + audit chain does. This composition is the moat.</w:t>
      </w:r>
    </w:p>
    <w:p>
      <w:pPr>
        <w:pStyle w:val="BodyText"/>
      </w:pPr>
      <w:r>
        <w:rPr>
          <w:b/>
          <w:bCs/>
        </w:rPr>
        <w:t xml:space="preserve">Open-Source Strategy Note:</w:t>
      </w:r>
      <w:r>
        <w:t xml:space="preserve"> </w:t>
      </w:r>
      <w:r>
        <w:t xml:space="preserve">While the present invention is patented, certain components are anticipated to be released under Apache 2.0 with a conditional patent grant. Specifically, Tier 2 vertical baseline rule definitions and example reference implementations may be open-sourced to drive industry adoption while the Tier 0-1 platform rules, the composition engine, the pre-publish enforcement, the regulatory ingestion service, and the audit chain anchoring remain hosted services with the patent grant conditioned on use through the platform’s hosted trust layer.</w:t>
      </w:r>
    </w:p>
    <w:p>
      <w:pPr>
        <w:pStyle w:val="BodyText"/>
      </w:pPr>
      <w:r>
        <w:rPr>
          <w:b/>
          <w:bCs/>
        </w:rPr>
        <w:t xml:space="preserve">Cross-Filing Note:</w:t>
      </w:r>
      <w:r>
        <w:t xml:space="preserve"> </w:t>
      </w:r>
      <w:r>
        <w:t xml:space="preserve">This filing references and is referenced by Filings A and B in the same filing cycle. The three filings together form a patent family covering (i) the parent-child DTC + system composition primitives (extending prior art), (ii) title and property assurance application, and (iii) the governance layer enabling all of the above. Filing C is the most architecturally fundamental of the three and the broadest in cross-vertical application.</w:t>
      </w:r>
    </w:p>
    <w:p>
      <w:r>
        <w:pict>
          <v:rect style="width:0;height:1.5pt" o:hralign="center" o:hrstd="t" o:hr="t"/>
        </w:pict>
      </w:r>
    </w:p>
    <w:p>
      <w:pPr>
        <w:pStyle w:val="FirstParagraph"/>
      </w:pPr>
      <w:r>
        <w:rPr>
          <w:i/>
          <w:iCs/>
        </w:rPr>
        <w:t xml:space="preserve">End of Filing C draft. Sean to review, refine claim language, and add formal drawings before USPTO submission. This is the structural moat patent — Sean should review claim breadth carefully; broader claims face higher rejection risk but provide stronger protection if granted.</w:t>
      </w:r>
    </w:p>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SOCIII Patent Portfolio</dc:title>
  <dc:creator>SOCIII, Inc.</dc:creator>
  <cp:keywords/>
  <dcterms:created xsi:type="dcterms:W3CDTF">2026-05-26T07:38:01Z</dcterms:created>
  <dcterms:modified xsi:type="dcterms:W3CDTF">2026-05-26T07:38:01Z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y fmtid="{D5CDD505-2E9C-101B-9397-08002B2CF9AE}" pid="3" name="subtitle">
    <vt:lpwstr>Six U.S. Provisional Patent Applications Filed 2026-05-24</vt:lpwstr>
  </property>
</Properties>
</file>