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C72C" w14:textId="77777777" w:rsidR="004F60EF" w:rsidRPr="004F60EF" w:rsidRDefault="004F60EF" w:rsidP="004F60E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SV"/>
          <w14:ligatures w14:val="none"/>
        </w:rPr>
        <w:t>Manual del Área de Comercialización (COM)</w:t>
      </w:r>
    </w:p>
    <w:p w14:paraId="6BDF9DA7" w14:textId="77777777" w:rsidR="004F60EF" w:rsidRPr="004F60EF" w:rsidRDefault="004F60EF" w:rsidP="004F60EF">
      <w:p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Esta gerencia vela por la calidad del servicio al cliente final, el cumplimiento tributario en la facturación electrónica en los terminales POS (cajas), la inocuidad en panadería y cocina, y la paridad absoluta de precios.</w:t>
      </w:r>
    </w:p>
    <w:p w14:paraId="7CAFF21F" w14:textId="77777777" w:rsidR="004F60EF" w:rsidRPr="004F60EF" w:rsidRDefault="004F60EF" w:rsidP="004F60EF">
      <w:p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Alineación Normativa ISO 9001:2015:</w:t>
      </w:r>
    </w:p>
    <w:p w14:paraId="04E8832E" w14:textId="77777777" w:rsidR="004F60EF" w:rsidRPr="004F60EF" w:rsidRDefault="004F60EF" w:rsidP="004F60EF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Numeral 8.2 (Requisitos para Productos y Servicios)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: Garantizar que el precio cobrado en </w:t>
      </w:r>
      <w:proofErr w:type="gramStart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caja</w:t>
      </w:r>
      <w:proofErr w:type="gramEnd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 coincide con el exhibido.</w:t>
      </w:r>
    </w:p>
    <w:p w14:paraId="66FD2F2F" w14:textId="77777777" w:rsidR="004F60EF" w:rsidRPr="004F60EF" w:rsidRDefault="004F60EF" w:rsidP="004F60EF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Numeral 8.5.1 (Control de la Producción)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: Control estricto de las BPM (Buenas Prácticas de Manufactura) y de la cadena de frío en perecederos.</w:t>
      </w:r>
    </w:p>
    <w:p w14:paraId="1A08161D" w14:textId="77777777" w:rsidR="004F60EF" w:rsidRDefault="004F60EF" w:rsidP="004F60EF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Numeral 9.1.2 (Satisfacción del Cliente)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: Evaluación constante del Net </w:t>
      </w:r>
      <w:proofErr w:type="spellStart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Promoter</w:t>
      </w:r>
      <w:proofErr w:type="spellEnd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 Score (NPS) del Front-End.</w:t>
      </w:r>
    </w:p>
    <w:p w14:paraId="1E18509E" w14:textId="77777777" w:rsidR="004F60EF" w:rsidRDefault="004F60EF" w:rsidP="004F60EF">
      <w:pPr>
        <w:spacing w:after="0" w:line="240" w:lineRule="auto"/>
        <w:ind w:left="720"/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</w:pPr>
    </w:p>
    <w:p w14:paraId="2E0A5F5E" w14:textId="77777777" w:rsidR="004F60EF" w:rsidRPr="004F60EF" w:rsidRDefault="004F60EF" w:rsidP="004F60EF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 xml:space="preserve">Macroprocesos y </w:t>
      </w:r>
      <w:proofErr w:type="spellStart"/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POEs</w:t>
      </w:r>
      <w:proofErr w:type="spellEnd"/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 xml:space="preserve"> (COM)</w:t>
      </w:r>
    </w:p>
    <w:p w14:paraId="5EF95EE8" w14:textId="77777777" w:rsidR="004F60EF" w:rsidRPr="004F60EF" w:rsidRDefault="004F60EF" w:rsidP="004F60EF">
      <w:pPr>
        <w:spacing w:after="0" w:line="240" w:lineRule="auto"/>
        <w:ind w:left="720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MACRO-COM-01: Atención al Cliente y Cajas</w:t>
      </w:r>
    </w:p>
    <w:p w14:paraId="1FBAC83E" w14:textId="77777777" w:rsidR="004F60EF" w:rsidRPr="004F60EF" w:rsidRDefault="004F60EF" w:rsidP="004F60EF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• </w:t>
      </w:r>
      <w:r w:rsidRPr="004F60EF">
        <w:rPr>
          <w:rFonts w:ascii="Segoe UI" w:eastAsia="Times New Roman" w:hAnsi="Segoe UI" w:cs="Segoe UI"/>
          <w:i/>
          <w:iCs/>
          <w:kern w:val="0"/>
          <w:lang w:eastAsia="es-SV"/>
          <w14:ligatures w14:val="none"/>
        </w:rPr>
        <w:t>POE-FE-01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: Protocolo de facturación electrónica y transmisión fiscal de DTE.</w:t>
      </w:r>
    </w:p>
    <w:p w14:paraId="5BA0C3D2" w14:textId="77777777" w:rsidR="004F60EF" w:rsidRPr="004F60EF" w:rsidRDefault="004F60EF" w:rsidP="004F60EF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• </w:t>
      </w:r>
      <w:r w:rsidRPr="004F60EF">
        <w:rPr>
          <w:rFonts w:ascii="Segoe UI" w:eastAsia="Times New Roman" w:hAnsi="Segoe UI" w:cs="Segoe UI"/>
          <w:i/>
          <w:iCs/>
          <w:kern w:val="0"/>
          <w:lang w:eastAsia="es-SV"/>
          <w14:ligatures w14:val="none"/>
        </w:rPr>
        <w:t>POE-FE-02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: Respaldo y custodia de certificados digitales.</w:t>
      </w:r>
    </w:p>
    <w:p w14:paraId="41852C33" w14:textId="77777777" w:rsidR="004F60EF" w:rsidRPr="004F60EF" w:rsidRDefault="004F60EF" w:rsidP="004F60EF">
      <w:pPr>
        <w:spacing w:after="0" w:line="240" w:lineRule="auto"/>
        <w:ind w:left="720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MACRO-COM-02: Perecederos y Cadena de Frío</w:t>
      </w:r>
    </w:p>
    <w:p w14:paraId="2CFD835C" w14:textId="77777777" w:rsidR="004F60EF" w:rsidRPr="004F60EF" w:rsidRDefault="004F60EF" w:rsidP="004F60E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• </w:t>
      </w:r>
      <w:r w:rsidRPr="004F60EF">
        <w:rPr>
          <w:rFonts w:ascii="Segoe UI" w:eastAsia="Times New Roman" w:hAnsi="Segoe UI" w:cs="Segoe UI"/>
          <w:i/>
          <w:iCs/>
          <w:kern w:val="0"/>
          <w:lang w:eastAsia="es-SV"/>
          <w14:ligatures w14:val="none"/>
        </w:rPr>
        <w:t>POE-PER-01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: Preservación de la cadena de frío y muestreo de temperaturas.</w:t>
      </w:r>
    </w:p>
    <w:p w14:paraId="24BA514B" w14:textId="77777777" w:rsidR="004F60EF" w:rsidRPr="004F60EF" w:rsidRDefault="004F60EF" w:rsidP="004F60EF">
      <w:pPr>
        <w:spacing w:after="0" w:line="240" w:lineRule="auto"/>
        <w:ind w:left="720"/>
        <w:rPr>
          <w:rFonts w:ascii="Segoe UI" w:eastAsia="Times New Roman" w:hAnsi="Segoe UI" w:cs="Segoe UI"/>
          <w:kern w:val="0"/>
          <w:lang w:eastAsia="es-SV"/>
          <w14:ligatures w14:val="none"/>
        </w:rPr>
      </w:pPr>
    </w:p>
    <w:p w14:paraId="37214C0E" w14:textId="77777777" w:rsidR="004F60EF" w:rsidRDefault="004F60EF" w:rsidP="004F60E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SV"/>
          <w14:ligatures w14:val="none"/>
        </w:rPr>
      </w:pPr>
    </w:p>
    <w:p w14:paraId="022C7DEA" w14:textId="1CF67CE0" w:rsidR="004F60EF" w:rsidRPr="004F60EF" w:rsidRDefault="004F60EF" w:rsidP="004F60E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SV"/>
          <w14:ligatures w14:val="none"/>
        </w:rPr>
        <w:t>Guía Paso a Paso de Tareas y Operaciones (COM)</w:t>
      </w:r>
    </w:p>
    <w:p w14:paraId="7FE71880" w14:textId="77777777" w:rsidR="004F60EF" w:rsidRPr="004F60EF" w:rsidRDefault="004F60EF" w:rsidP="004F60EF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1. Gestión de Control por Área (COM)</w:t>
      </w:r>
    </w:p>
    <w:p w14:paraId="5FA3E3EE" w14:textId="77777777" w:rsidR="004F60EF" w:rsidRPr="004F60EF" w:rsidRDefault="004F60EF" w:rsidP="004F60EF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Haz clic en el filtro </w:t>
      </w: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Comercialización (COM)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 en la pestaña </w:t>
      </w:r>
      <w:r w:rsidRPr="004F60EF">
        <w:rPr>
          <w:rFonts w:ascii="Segoe UI" w:eastAsia="Times New Roman" w:hAnsi="Segoe UI" w:cs="Segoe UI"/>
          <w:i/>
          <w:iCs/>
          <w:kern w:val="0"/>
          <w:lang w:eastAsia="es-SV"/>
          <w14:ligatures w14:val="none"/>
        </w:rPr>
        <w:t>Gestión por Área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 para acceder a la tabla de control comercial:</w:t>
      </w:r>
    </w:p>
    <w:p w14:paraId="2D6C14ED" w14:textId="77777777" w:rsidR="004F60EF" w:rsidRPr="004F60EF" w:rsidRDefault="004F60EF" w:rsidP="004F60E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proofErr w:type="spellStart"/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Versionamiento</w:t>
      </w:r>
      <w:proofErr w:type="spellEnd"/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 xml:space="preserve"> Inmutable (Numeral 7.5 ISO 9001)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: Al cambiar el estado de un protocolo de cobro o BPM (ej. </w:t>
      </w:r>
      <w:r w:rsidRPr="004F60EF">
        <w:rPr>
          <w:rFonts w:ascii="Courier New" w:eastAsia="Times New Roman" w:hAnsi="Courier New" w:cs="Courier New"/>
          <w:kern w:val="0"/>
          <w:sz w:val="20"/>
          <w:szCs w:val="20"/>
          <w:lang w:eastAsia="es-SV"/>
          <w14:ligatures w14:val="none"/>
        </w:rPr>
        <w:t>POE-FE-01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) </w:t>
      </w:r>
      <w:proofErr w:type="spellStart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a</w:t>
      </w:r>
      <w:proofErr w:type="spellEnd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 </w:t>
      </w: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Publicado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, el sistema incrementa la versión (ej. de </w:t>
      </w:r>
      <w:r w:rsidRPr="004F60EF">
        <w:rPr>
          <w:rFonts w:ascii="Courier New" w:eastAsia="Times New Roman" w:hAnsi="Courier New" w:cs="Courier New"/>
          <w:kern w:val="0"/>
          <w:sz w:val="20"/>
          <w:szCs w:val="20"/>
          <w:lang w:eastAsia="es-SV"/>
          <w14:ligatures w14:val="none"/>
        </w:rPr>
        <w:t>v1.0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 a </w:t>
      </w:r>
      <w:r w:rsidRPr="004F60EF">
        <w:rPr>
          <w:rFonts w:ascii="Courier New" w:eastAsia="Times New Roman" w:hAnsi="Courier New" w:cs="Courier New"/>
          <w:kern w:val="0"/>
          <w:sz w:val="20"/>
          <w:szCs w:val="20"/>
          <w:lang w:eastAsia="es-SV"/>
          <w14:ligatures w14:val="none"/>
        </w:rPr>
        <w:t>v1.1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) y registra el histórico de cambios de manera inmutable.</w:t>
      </w:r>
    </w:p>
    <w:p w14:paraId="266B9E6B" w14:textId="77777777" w:rsidR="004F60EF" w:rsidRPr="004F60EF" w:rsidRDefault="004F60EF" w:rsidP="004F60E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Tasa de Rendimiento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: Muestra la tasa de conformidad de las últimas auditorías de cajas o muestreo de cadena de frío en sala de ventas.</w:t>
      </w:r>
    </w:p>
    <w:p w14:paraId="09A92BF1" w14:textId="77777777" w:rsidR="004F60EF" w:rsidRPr="004F60EF" w:rsidRDefault="004F60EF" w:rsidP="004F60E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 Emoji" w:eastAsia="Times New Roman" w:hAnsi="Segoe UI Emoji" w:cs="Segoe UI Emoji"/>
          <w:b/>
          <w:bCs/>
          <w:kern w:val="0"/>
          <w:lang w:eastAsia="es-SV"/>
          <w14:ligatures w14:val="none"/>
        </w:rPr>
        <w:t>🔍</w:t>
      </w: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 xml:space="preserve"> Ficha de Control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: Haz clic en el icono de lupa para abrir la ficha con Entradas (transmisión POS), Salidas (XML DTE), matriz de riesgos (mermas/caída fiscal) y </w:t>
      </w:r>
      <w:proofErr w:type="spellStart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KPIs</w:t>
      </w:r>
      <w:proofErr w:type="spellEnd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 comerciales.</w:t>
      </w:r>
    </w:p>
    <w:p w14:paraId="3A077173" w14:textId="77777777" w:rsidR="004F60EF" w:rsidRPr="004F60EF" w:rsidRDefault="004F60EF" w:rsidP="004F60E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 Emoji" w:eastAsia="Times New Roman" w:hAnsi="Segoe UI Emoji" w:cs="Segoe UI Emoji"/>
          <w:b/>
          <w:bCs/>
          <w:kern w:val="0"/>
          <w:lang w:eastAsia="es-SV"/>
          <w14:ligatures w14:val="none"/>
        </w:rPr>
        <w:lastRenderedPageBreak/>
        <w:t>✍️</w:t>
      </w: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 xml:space="preserve"> Auditoría Activa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: Presiona "Auditar" para evaluar la paridad de precios fleje-caja o la cadena de frío. Si la conformidad obtenida es menor al 100%, el sistema genera de forma automática una </w:t>
      </w: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No Conformidad CAPA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.</w:t>
      </w:r>
    </w:p>
    <w:p w14:paraId="4A982BC2" w14:textId="77777777" w:rsidR="004F60EF" w:rsidRPr="004F60EF" w:rsidRDefault="004F60EF" w:rsidP="004F60EF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2. Registro de Evidencias (Nivel 4 y 5)</w:t>
      </w:r>
    </w:p>
    <w:p w14:paraId="4AD3894B" w14:textId="77777777" w:rsidR="004F60EF" w:rsidRPr="004F60EF" w:rsidRDefault="004F60EF" w:rsidP="004F60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Para evidenciar el cumplimiento del muestreo de frío o paridad de precios:</w:t>
      </w:r>
    </w:p>
    <w:p w14:paraId="3046D797" w14:textId="77777777" w:rsidR="004F60EF" w:rsidRPr="004F60EF" w:rsidRDefault="004F60EF" w:rsidP="004F60EF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Abre el </w:t>
      </w: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Explorador Documental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, navega en el árbol: </w:t>
      </w:r>
      <w:r w:rsidRPr="004F60EF">
        <w:rPr>
          <w:rFonts w:ascii="Segoe UI" w:eastAsia="Times New Roman" w:hAnsi="Segoe UI" w:cs="Segoe UI"/>
          <w:i/>
          <w:iCs/>
          <w:kern w:val="0"/>
          <w:lang w:eastAsia="es-SV"/>
          <w14:ligatures w14:val="none"/>
        </w:rPr>
        <w:t>Comercialización → Cajas/Perecederos → POE-FE-01 → IT-FE-01 → REG-FE-001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.</w:t>
      </w:r>
    </w:p>
    <w:p w14:paraId="28C9916D" w14:textId="77777777" w:rsidR="004F60EF" w:rsidRPr="004F60EF" w:rsidRDefault="004F60EF" w:rsidP="004F60EF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Selecciona la ficha y haz clic en el botón azul </w:t>
      </w: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Llenar Registro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 para abrir el formulario digital de cajas.</w:t>
      </w:r>
    </w:p>
    <w:p w14:paraId="57DCC6B5" w14:textId="77777777" w:rsidR="004F60EF" w:rsidRPr="004F60EF" w:rsidRDefault="004F60EF" w:rsidP="004F60EF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Haz clic en </w:t>
      </w: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Autocompletar GPS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 para geolocalizar la sucursal de forma inmutable, dibuja la firma digital del cajero supervisor en el </w:t>
      </w:r>
      <w:proofErr w:type="spellStart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Canvas</w:t>
      </w:r>
      <w:proofErr w:type="spellEnd"/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 y completa la auditoría de caja.</w:t>
      </w:r>
    </w:p>
    <w:p w14:paraId="4BBFEBDD" w14:textId="77777777" w:rsidR="004F60EF" w:rsidRPr="004F60EF" w:rsidRDefault="004F60EF" w:rsidP="004F60EF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Presiona </w:t>
      </w: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Registrar y Validar Evidencia</w:t>
      </w:r>
      <w:r w:rsidRPr="004F60EF">
        <w:rPr>
          <w:rFonts w:ascii="Segoe UI" w:eastAsia="Times New Roman" w:hAnsi="Segoe UI" w:cs="Segoe UI"/>
          <w:kern w:val="0"/>
          <w:lang w:eastAsia="es-SV"/>
          <w14:ligatures w14:val="none"/>
        </w:rPr>
        <w:t> para guardar los datos en la bitácora de trazabilidad.</w:t>
      </w:r>
    </w:p>
    <w:p w14:paraId="1CC85C86" w14:textId="77777777" w:rsidR="004F60EF" w:rsidRPr="004F60EF" w:rsidRDefault="004F60EF" w:rsidP="004F60E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3. Monitoreo de Alertas de la Gerencia</w:t>
      </w:r>
    </w:p>
    <w:p w14:paraId="4D922EFC" w14:textId="77777777" w:rsidR="004F60EF" w:rsidRPr="004F60EF" w:rsidRDefault="004F60EF" w:rsidP="004F60EF">
      <w:pPr>
        <w:spacing w:after="0" w:line="240" w:lineRule="auto"/>
        <w:rPr>
          <w:rFonts w:ascii="Segoe UI" w:eastAsia="Times New Roman" w:hAnsi="Segoe UI" w:cs="Segoe UI"/>
          <w:color w:val="64748B"/>
          <w:kern w:val="0"/>
          <w:lang w:eastAsia="es-SV"/>
          <w14:ligatures w14:val="none"/>
        </w:rPr>
      </w:pPr>
      <w:r w:rsidRPr="004F60EF">
        <w:rPr>
          <w:rFonts w:ascii="Segoe UI" w:eastAsia="Times New Roman" w:hAnsi="Segoe UI" w:cs="Segoe UI"/>
          <w:color w:val="64748B"/>
          <w:kern w:val="0"/>
          <w:lang w:eastAsia="es-SV"/>
          <w14:ligatures w14:val="none"/>
        </w:rPr>
        <w:t>El panel de alertas a la derecha filtra eventos exclusivos de COM. Bordes de color rojo indican </w:t>
      </w:r>
      <w:r w:rsidRPr="004F60EF">
        <w:rPr>
          <w:rFonts w:ascii="Segoe UI" w:eastAsia="Times New Roman" w:hAnsi="Segoe UI" w:cs="Segoe UI"/>
          <w:b/>
          <w:bCs/>
          <w:color w:val="64748B"/>
          <w:kern w:val="0"/>
          <w:lang w:eastAsia="es-SV"/>
          <w14:ligatures w14:val="none"/>
        </w:rPr>
        <w:t>CAPA Críticas</w:t>
      </w:r>
      <w:r w:rsidRPr="004F60EF">
        <w:rPr>
          <w:rFonts w:ascii="Segoe UI" w:eastAsia="Times New Roman" w:hAnsi="Segoe UI" w:cs="Segoe UI"/>
          <w:color w:val="64748B"/>
          <w:kern w:val="0"/>
          <w:lang w:eastAsia="es-SV"/>
          <w14:ligatures w14:val="none"/>
        </w:rPr>
        <w:t> urgentes (temperatura fuera de rango en perecederos), mientras que los amarillos indican avisos preventivos (desfases en la transmisión XML de cajas en menos de 15 días).</w:t>
      </w:r>
    </w:p>
    <w:p w14:paraId="1FA0FE25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5683"/>
    <w:multiLevelType w:val="multilevel"/>
    <w:tmpl w:val="6672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92413"/>
    <w:multiLevelType w:val="multilevel"/>
    <w:tmpl w:val="2FDE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70097F"/>
    <w:multiLevelType w:val="multilevel"/>
    <w:tmpl w:val="17A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66764"/>
    <w:multiLevelType w:val="multilevel"/>
    <w:tmpl w:val="2CDE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536E21"/>
    <w:multiLevelType w:val="multilevel"/>
    <w:tmpl w:val="6EC8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965659">
    <w:abstractNumId w:val="3"/>
  </w:num>
  <w:num w:numId="2" w16cid:durableId="234510900">
    <w:abstractNumId w:val="4"/>
  </w:num>
  <w:num w:numId="3" w16cid:durableId="847401718">
    <w:abstractNumId w:val="1"/>
  </w:num>
  <w:num w:numId="4" w16cid:durableId="264966708">
    <w:abstractNumId w:val="2"/>
  </w:num>
  <w:num w:numId="5" w16cid:durableId="9348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EF"/>
    <w:rsid w:val="004F60EF"/>
    <w:rsid w:val="00760646"/>
    <w:rsid w:val="00AD1CA5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D6C4C7"/>
  <w15:chartTrackingRefBased/>
  <w15:docId w15:val="{A7122E95-4B23-4827-97D2-2FA862FD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0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0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0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0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0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0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448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2026-08-02T17:29:00Z</dcterms:created>
  <dcterms:modified xsi:type="dcterms:W3CDTF">2026-08-02T17:32:00Z</dcterms:modified>
</cp:coreProperties>
</file>