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34DC9" w14:textId="77777777" w:rsidR="00191CA3" w:rsidRPr="00191CA3" w:rsidRDefault="00191CA3" w:rsidP="00191CA3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F8FAFC"/>
          <w:kern w:val="0"/>
          <w:sz w:val="27"/>
          <w:szCs w:val="27"/>
          <w:lang w:eastAsia="es-SV"/>
          <w14:ligatures w14:val="none"/>
        </w:rPr>
      </w:pPr>
      <w:r w:rsidRPr="00191CA3">
        <w:rPr>
          <w:rFonts w:ascii="Segoe UI Emoji" w:eastAsia="Times New Roman" w:hAnsi="Segoe UI Emoji" w:cs="Segoe UI Emoji"/>
          <w:b/>
          <w:bCs/>
          <w:color w:val="F8FAFC"/>
          <w:kern w:val="0"/>
          <w:sz w:val="27"/>
          <w:szCs w:val="27"/>
          <w:lang w:eastAsia="es-SV"/>
          <w14:ligatures w14:val="none"/>
        </w:rPr>
        <w:t>💡</w:t>
      </w:r>
      <w:r w:rsidRPr="00191CA3">
        <w:rPr>
          <w:rFonts w:ascii="Segoe UI" w:eastAsia="Times New Roman" w:hAnsi="Segoe UI" w:cs="Segoe UI"/>
          <w:b/>
          <w:bCs/>
          <w:color w:val="F8FAFC"/>
          <w:kern w:val="0"/>
          <w:sz w:val="27"/>
          <w:szCs w:val="27"/>
          <w:lang w:eastAsia="es-SV"/>
          <w14:ligatures w14:val="none"/>
        </w:rPr>
        <w:t xml:space="preserve"> Guía de Operación e Interpretación</w:t>
      </w:r>
    </w:p>
    <w:p w14:paraId="2E5C1DD8" w14:textId="77777777" w:rsidR="00191CA3" w:rsidRPr="00191CA3" w:rsidRDefault="00191CA3" w:rsidP="00191CA3">
      <w:pPr>
        <w:spacing w:after="0" w:line="240" w:lineRule="auto"/>
        <w:rPr>
          <w:rFonts w:ascii="Segoe UI" w:eastAsia="Times New Roman" w:hAnsi="Segoe UI" w:cs="Segoe UI"/>
          <w:kern w:val="0"/>
          <w:lang w:eastAsia="es-SV"/>
          <w14:ligatures w14:val="none"/>
        </w:rPr>
      </w:pPr>
      <w:r w:rsidRPr="00191CA3">
        <w:rPr>
          <w:rFonts w:ascii="Segoe UI" w:eastAsia="Times New Roman" w:hAnsi="Segoe UI" w:cs="Segoe UI"/>
          <w:b/>
          <w:bCs/>
          <w:kern w:val="0"/>
          <w:lang w:eastAsia="es-SV"/>
          <w14:ligatures w14:val="none"/>
        </w:rPr>
        <w:t>¿Qué es la Minería de Procesos?</w:t>
      </w:r>
      <w:r w:rsidRPr="00191CA3">
        <w:rPr>
          <w:rFonts w:ascii="Segoe UI" w:eastAsia="Times New Roman" w:hAnsi="Segoe UI" w:cs="Segoe UI"/>
          <w:kern w:val="0"/>
          <w:lang w:eastAsia="es-SV"/>
          <w14:ligatures w14:val="none"/>
        </w:rPr>
        <w:t> Es una herramienta analítica que recopila los logs de auditoría, firmas y registros reales para reconstruir visualmente el flujo operativo de la empresa. Te permite contrastar la práctica diaria contra el estándar normativo de la norma ISO 9001:2015.</w:t>
      </w:r>
    </w:p>
    <w:p w14:paraId="1EF1AAD5" w14:textId="77777777" w:rsidR="00191CA3" w:rsidRPr="00191CA3" w:rsidRDefault="00191CA3" w:rsidP="00191CA3">
      <w:pPr>
        <w:spacing w:after="0" w:line="240" w:lineRule="auto"/>
        <w:outlineLvl w:val="4"/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s-SV"/>
          <w14:ligatures w14:val="none"/>
        </w:rPr>
      </w:pPr>
      <w:r w:rsidRPr="00191CA3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s-SV"/>
          <w14:ligatures w14:val="none"/>
        </w:rPr>
        <w:t>1. Selecciona un Proceso</w:t>
      </w:r>
    </w:p>
    <w:p w14:paraId="38336C2B" w14:textId="77777777" w:rsidR="00191CA3" w:rsidRPr="00191CA3" w:rsidRDefault="00191CA3" w:rsidP="00191CA3">
      <w:pPr>
        <w:spacing w:after="0" w:line="240" w:lineRule="auto"/>
        <w:rPr>
          <w:rFonts w:ascii="Segoe UI" w:eastAsia="Times New Roman" w:hAnsi="Segoe UI" w:cs="Segoe UI"/>
          <w:kern w:val="0"/>
          <w:lang w:eastAsia="es-SV"/>
          <w14:ligatures w14:val="none"/>
        </w:rPr>
      </w:pPr>
      <w:r w:rsidRPr="00191CA3">
        <w:rPr>
          <w:rFonts w:ascii="Segoe UI" w:eastAsia="Times New Roman" w:hAnsi="Segoe UI" w:cs="Segoe UI"/>
          <w:kern w:val="0"/>
          <w:lang w:eastAsia="es-SV"/>
          <w14:ligatures w14:val="none"/>
        </w:rPr>
        <w:t xml:space="preserve">Elige en el selector superior el procedimiento a analizar. Tienes disponibles los 132 </w:t>
      </w:r>
      <w:proofErr w:type="spellStart"/>
      <w:r w:rsidRPr="00191CA3">
        <w:rPr>
          <w:rFonts w:ascii="Segoe UI" w:eastAsia="Times New Roman" w:hAnsi="Segoe UI" w:cs="Segoe UI"/>
          <w:kern w:val="0"/>
          <w:lang w:eastAsia="es-SV"/>
          <w14:ligatures w14:val="none"/>
        </w:rPr>
        <w:t>POEs</w:t>
      </w:r>
      <w:proofErr w:type="spellEnd"/>
      <w:r w:rsidRPr="00191CA3">
        <w:rPr>
          <w:rFonts w:ascii="Segoe UI" w:eastAsia="Times New Roman" w:hAnsi="Segoe UI" w:cs="Segoe UI"/>
          <w:kern w:val="0"/>
          <w:lang w:eastAsia="es-SV"/>
          <w14:ligatures w14:val="none"/>
        </w:rPr>
        <w:t xml:space="preserve"> cargados de ADM, COM y LOG.</w:t>
      </w:r>
    </w:p>
    <w:p w14:paraId="27C98FB4" w14:textId="77777777" w:rsidR="00191CA3" w:rsidRPr="00191CA3" w:rsidRDefault="00191CA3" w:rsidP="00191CA3">
      <w:pPr>
        <w:spacing w:after="0" w:line="240" w:lineRule="auto"/>
        <w:outlineLvl w:val="4"/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s-SV"/>
          <w14:ligatures w14:val="none"/>
        </w:rPr>
      </w:pPr>
      <w:r w:rsidRPr="00191CA3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s-SV"/>
          <w14:ligatures w14:val="none"/>
        </w:rPr>
        <w:t>2. Simula e Inyecta Casos</w:t>
      </w:r>
    </w:p>
    <w:p w14:paraId="7A9ABD4F" w14:textId="77777777" w:rsidR="00191CA3" w:rsidRPr="00191CA3" w:rsidRDefault="00191CA3" w:rsidP="00191CA3">
      <w:pPr>
        <w:spacing w:after="0" w:line="240" w:lineRule="auto"/>
        <w:rPr>
          <w:rFonts w:ascii="Segoe UI" w:eastAsia="Times New Roman" w:hAnsi="Segoe UI" w:cs="Segoe UI"/>
          <w:kern w:val="0"/>
          <w:lang w:eastAsia="es-SV"/>
          <w14:ligatures w14:val="none"/>
        </w:rPr>
      </w:pPr>
      <w:r w:rsidRPr="00191CA3">
        <w:rPr>
          <w:rFonts w:ascii="Segoe UI" w:eastAsia="Times New Roman" w:hAnsi="Segoe UI" w:cs="Segoe UI"/>
          <w:kern w:val="0"/>
          <w:lang w:eastAsia="es-SV"/>
          <w14:ligatures w14:val="none"/>
        </w:rPr>
        <w:t>Si no hay datos, haz clic en el botón azul </w:t>
      </w:r>
      <w:r w:rsidRPr="00191CA3">
        <w:rPr>
          <w:rFonts w:ascii="Segoe UI" w:eastAsia="Times New Roman" w:hAnsi="Segoe UI" w:cs="Segoe UI"/>
          <w:b/>
          <w:bCs/>
          <w:kern w:val="0"/>
          <w:lang w:eastAsia="es-SV"/>
          <w14:ligatures w14:val="none"/>
        </w:rPr>
        <w:t>"Simular Inyección de 100 Casos"</w:t>
      </w:r>
      <w:r w:rsidRPr="00191CA3">
        <w:rPr>
          <w:rFonts w:ascii="Segoe UI" w:eastAsia="Times New Roman" w:hAnsi="Segoe UI" w:cs="Segoe UI"/>
          <w:kern w:val="0"/>
          <w:lang w:eastAsia="es-SV"/>
          <w14:ligatures w14:val="none"/>
        </w:rPr>
        <w:t> arriba. Esto generará la actividad de 20 días de registros y firmas.</w:t>
      </w:r>
    </w:p>
    <w:p w14:paraId="1D5D867F" w14:textId="77777777" w:rsidR="00191CA3" w:rsidRPr="00191CA3" w:rsidRDefault="00191CA3" w:rsidP="00191CA3">
      <w:pPr>
        <w:spacing w:after="0" w:line="240" w:lineRule="auto"/>
        <w:outlineLvl w:val="4"/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s-SV"/>
          <w14:ligatures w14:val="none"/>
        </w:rPr>
      </w:pPr>
      <w:r w:rsidRPr="00191CA3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s-SV"/>
          <w14:ligatures w14:val="none"/>
        </w:rPr>
        <w:t>3. Detecta Cuellos de Botella</w:t>
      </w:r>
    </w:p>
    <w:p w14:paraId="27FD8749" w14:textId="77777777" w:rsidR="00191CA3" w:rsidRPr="00191CA3" w:rsidRDefault="00191CA3" w:rsidP="00191CA3">
      <w:pPr>
        <w:spacing w:after="0" w:line="240" w:lineRule="auto"/>
        <w:rPr>
          <w:rFonts w:ascii="Segoe UI" w:eastAsia="Times New Roman" w:hAnsi="Segoe UI" w:cs="Segoe UI"/>
          <w:kern w:val="0"/>
          <w:lang w:eastAsia="es-SV"/>
          <w14:ligatures w14:val="none"/>
        </w:rPr>
      </w:pPr>
      <w:r w:rsidRPr="00191CA3">
        <w:rPr>
          <w:rFonts w:ascii="Segoe UI" w:eastAsia="Times New Roman" w:hAnsi="Segoe UI" w:cs="Segoe UI"/>
          <w:kern w:val="0"/>
          <w:lang w:eastAsia="es-SV"/>
          <w14:ligatures w14:val="none"/>
        </w:rPr>
        <w:t>Las flechas rojas animadas indican transiciones lentas. El nodo con contorno naranja indica dónde se encuentra el estrangulamiento (desviación de tiempo o calidad).</w:t>
      </w:r>
    </w:p>
    <w:p w14:paraId="0A3846D3" w14:textId="77777777" w:rsidR="00760646" w:rsidRPr="00191CA3" w:rsidRDefault="00760646" w:rsidP="00191CA3"/>
    <w:sectPr w:rsidR="00760646" w:rsidRPr="00191C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CA3"/>
    <w:rsid w:val="00191CA3"/>
    <w:rsid w:val="00760646"/>
    <w:rsid w:val="00AD1CA5"/>
    <w:rsid w:val="00B57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A1B758"/>
  <w15:chartTrackingRefBased/>
  <w15:docId w15:val="{770ED1FA-A5BF-4E65-99FF-011FC3590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1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1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1C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1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1C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1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1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1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1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1C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1C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1C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1C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1C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1C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1C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1C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1C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1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1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1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1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1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1C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1C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1C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1C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1C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1C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704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Belismelis</dc:creator>
  <cp:keywords/>
  <dc:description/>
  <cp:lastModifiedBy>Emilio Belismelis</cp:lastModifiedBy>
  <cp:revision>1</cp:revision>
  <dcterms:created xsi:type="dcterms:W3CDTF">2026-08-02T18:25:00Z</dcterms:created>
  <dcterms:modified xsi:type="dcterms:W3CDTF">2026-08-02T18:27:00Z</dcterms:modified>
</cp:coreProperties>
</file>