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6E8E" w:sz="12" w:space="6"/>
        </w:pBdr>
        <w:spacing w:after="40"/>
      </w:pPr>
      <w:r>
        <w:rPr>
          <w:b/>
          <w:bCs/>
          <w:color w:val="1F3B4D"/>
          <w:sz w:val="44"/>
          <w:szCs w:val="44"/>
        </w:rPr>
        <w:t xml:space="preserve">AVIntelligence</w:t>
      </w:r>
    </w:p>
    <w:p>
      <w:pPr>
        <w:spacing w:after="60"/>
      </w:pPr>
      <w:r>
        <w:rPr>
          <w:b/>
          <w:bCs/>
          <w:color w:val="2E6E8E"/>
          <w:sz w:val="30"/>
          <w:szCs w:val="30"/>
        </w:rPr>
        <w:t xml:space="preserve">B2B Partner Sales Strategy &amp; Program</w:t>
      </w:r>
    </w:p>
    <w:p>
      <w:pPr>
        <w:spacing w:after="30"/>
      </w:pPr>
      <w:r>
        <w:rPr>
          <w:i/>
          <w:iCs/>
          <w:color w:val="595959"/>
          <w:sz w:val="22"/>
          <w:szCs w:val="22"/>
        </w:rPr>
        <w:t xml:space="preserve">US / North America — first.  Optimizing Pro recurring revenue and total paying volume.</w:t>
      </w:r>
    </w:p>
    <w:p>
      <w:pPr>
        <w:spacing w:after="200"/>
      </w:pPr>
      <w:r>
        <w:rPr>
          <w:color w:val="595959"/>
          <w:sz w:val="20"/>
          <w:szCs w:val="20"/>
        </w:rPr>
        <w:t xml:space="preserve">Prepared as acting GM · May 31, 2026 · Internal — for founder review</w:t>
      </w:r>
    </w:p>
    <w:p>
      <w:pPr>
        <w:pStyle w:val="Heading1"/>
        <w:spacing w:after="140" w:before="280"/>
      </w:pPr>
      <w:r>
        <w:t xml:space="preserve">1.  Executive summary</w:t>
      </w:r>
    </w:p>
    <w:p>
      <w:pPr>
        <w:spacing w:after="120" w:line="276"/>
      </w:pPr>
      <w:r>
        <w:t xml:space="preserve">The fastest, cheapest path to growth is to sell </w:t>
      </w:r>
      <w:r>
        <w:rPr>
          <w:i/>
          <w:iCs/>
        </w:rPr>
        <w:t xml:space="preserve">through</w:t>
      </w:r>
      <w:r>
        <w:t xml:space="preserve"> partners rather than only direct. AVIntelligence already has the two pieces a partner channel needs: a low-friction, low-price product (Free, a $6 day pass / gift code, and $12/mo Pro) and </w:t>
      </w:r>
      <w:r>
        <w:rPr>
          <w:b/>
          <w:bCs/>
        </w:rPr>
        <w:t xml:space="preserve">working gift-code redemption and billing</w:t>
      </w:r>
      <w:r>
        <w:t xml:space="preserve"> in the live product. That means we can launch a partner program on the existing surface — no new engineering required to start.</w:t>
      </w:r>
    </w:p>
    <w:p>
      <w:pPr>
        <w:spacing w:after="120" w:line="276"/>
      </w:pPr>
      <w:r>
        <w:t xml:space="preserve">We lead with US bookkeepers and small accounting / tax practices, because they already own the exact pain we remove (chasing and organizing client receipts) and they carry a portfolio of clients we can reach one relationship at a time. We add two supporting channels: business organizations &amp; coworking spaces (bulk codes as a member perk) and affiliates &amp; creators (recurring cash commission). Partners are rewarded the way you proposed — </w:t>
      </w:r>
      <w:r>
        <w:rPr>
          <w:b/>
          <w:bCs/>
        </w:rPr>
        <w:t xml:space="preserve">free access that scales with the business they bring</w:t>
      </w:r>
      <w:r>
        <w:t xml:space="preserve"> (1 month → 6 months → annual) — with a cash-commission alternative for partners who would rather be paid.</w:t>
      </w:r>
    </w:p>
    <w:p>
      <w:pPr>
        <w:spacing w:after="120" w:line="276"/>
      </w:pPr>
      <w:r>
        <w:t xml:space="preserve">The economics are strong. A partner-referred Pro customer is worth about </w:t>
      </w:r>
      <w:r>
        <w:rPr>
          <w:b/>
          <w:bCs/>
        </w:rPr>
        <w:t xml:space="preserve">$171 in lifetime revenue (~$129 gross profit)</w:t>
      </w:r>
      <w:r>
        <w:t xml:space="preserve">; after a 30% recurring commission we keep ~$77. Because commission is only paid as revenue arrives, partner CAC is effectively pay-as-you-earn. The free-access rewards you suggested are remarkably cheap: each milestone costs us </w:t>
      </w:r>
      <w:r>
        <w:rPr>
          <w:b/>
          <w:bCs/>
        </w:rPr>
        <w:t xml:space="preserve">about 1% of the revenue it unlocks</w:t>
      </w:r>
      <w:r>
        <w:t xml:space="preserve">. A realistic 12-month base case puts the channel at roughly </w:t>
      </w:r>
      <w:r>
        <w:rPr>
          <w:b/>
          <w:bCs/>
        </w:rPr>
        <w:t xml:space="preserve">730 active Pro subscribers and ~$106K ARR run-rate</w:t>
      </w:r>
      <w:r>
        <w:t xml:space="preserve">; the conservative floor is ~$35K and the stretch case ~$330K. Full math is in the companion model.</w:t>
      </w:r>
    </w:p>
    <w:p>
      <w:pPr>
        <w:pStyle w:val="Heading1"/>
        <w:spacing w:after="140" w:before="280"/>
      </w:pPr>
      <w:r>
        <w:t xml:space="preserve">2.  Alignment with existing strategy docs (read first)</w:t>
      </w:r>
    </w:p>
    <w:p>
      <w:pPr>
        <w:spacing w:after="120" w:line="276"/>
      </w:pPr>
      <w:r>
        <w:t xml:space="preserve">Your existing sales/marketing context (the </w:t>
      </w:r>
      <w:r>
        <w:rPr>
          <w:i/>
          <w:iCs/>
        </w:rPr>
        <w:t xml:space="preserve">sales-and-marketing</w:t>
      </w:r>
      <w:r>
        <w:t xml:space="preserve"> folder) currently frames the primary motion as </w:t>
      </w:r>
      <w:r>
        <w:rPr>
          <w:b/>
          <w:bCs/>
        </w:rPr>
        <w:t xml:space="preserve">PH-accountants-first</w:t>
      </w:r>
      <w:r>
        <w:t xml:space="preserve">. You’ve directed that the primary customer base is </w:t>
      </w:r>
      <w:r>
        <w:rPr>
          <w:b/>
          <w:bCs/>
        </w:rPr>
        <w:t xml:space="preserve">US / North America</w:t>
      </w:r>
      <w:r>
        <w:t xml:space="preserve">, with other markets a later, non-priority expansion. This strategy executes US/NA-first and treats the PH-accountant motion as the documented expansion path — consistent with “we may expand but not priority.”</w:t>
      </w:r>
    </w:p>
    <w:p>
      <w:pPr>
        <w:spacing w:after="120" w:line="276"/>
      </w:pPr>
      <w:r>
        <w:t xml:space="preserve">This plan stays inside every constraint already written down: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Positioning IS / IS-NOT lines</w:t>
      </w:r>
      <w:r>
        <w:t xml:space="preserve"> — we are the input layer upstream of bookkeeping and tax prep, not a bookkeeping platform, not a QuickBooks/Xero replacement, not a tax filer, not a CPA replacement.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Voice &amp; tone</w:t>
      </w:r>
      <w:r>
        <w:t xml:space="preserve"> — plain English, no hype, no “AI-powered,” no emojis, honest about scope. All outbound in the founder voice.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Required disclaimers</w:t>
      </w:r>
      <w:r>
        <w:t xml:space="preserve"> on any tax-aligned output, and the approved one-liners only.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Human-in-the-loop</w:t>
      </w:r>
      <w:r>
        <w:t xml:space="preserve"> — every external message is a draft for your approval; nothing auto-sends. LinkedIn is manual-DM only.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Processor is Creem</w:t>
      </w:r>
      <w:r>
        <w:t xml:space="preserve">; published prices live in the Creem dashboard.</w:t>
      </w:r>
    </w:p>
    <w:p>
      <w:pPr>
        <w:pBdr>
          <w:left w:val="single" w:color="2E6E8E" w:sz="18" w:space="8"/>
        </w:pBdr>
        <w:shd w:fill="EEF3F7" w:val="clear"/>
        <w:spacing w:after="120" w:before="80"/>
      </w:pPr>
      <w:r>
        <w:t xml:space="preserve">Recommended housekeeping (your call): update </w:t>
      </w:r>
      <w:r>
        <w:rPr>
          <w:i/>
          <w:iCs/>
        </w:rPr>
        <w:t xml:space="preserve">strategy-context.md</w:t>
      </w:r>
      <w:r>
        <w:t xml:space="preserve"> to name US/NA as the current primary motion, and lock the partner-tier pricing TODOs in </w:t>
      </w:r>
      <w:r>
        <w:rPr>
          <w:i/>
          <w:iCs/>
        </w:rPr>
        <w:t xml:space="preserve">product-positioning.md</w:t>
      </w:r>
      <w:r>
        <w:t xml:space="preserve"> and the ICP docs using the tiers in Section 5.</w:t>
      </w:r>
    </w:p>
    <w:p>
      <w:pPr>
        <w:pStyle w:val="Heading1"/>
        <w:spacing w:after="140" w:before="280"/>
      </w:pPr>
      <w:r>
        <w:t xml:space="preserve">3.  The wedge — why a partner channel works here</w:t>
      </w:r>
    </w:p>
    <w:p>
      <w:pPr>
        <w:pStyle w:val="Heading2"/>
        <w:spacing w:after="100" w:before="200"/>
      </w:pPr>
      <w:r>
        <w:t xml:space="preserve">Price</w:t>
      </w:r>
    </w:p>
    <w:p>
      <w:pPr>
        <w:spacing w:after="120" w:line="276"/>
      </w:pPr>
      <w:r>
        <w:t xml:space="preserve">AVInt Pro is $12/mo with full features and 1 TB storage. The tools a bookkeeper would otherwise put a client on cost more for less of the input-layer job: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3760"/>
      </w:tblGrid>
      <w:tr>
        <w:trPr>
          <w:tblHeader/>
        </w:trPr>
        <w:tc>
          <w:tcPr>
            <w:tcW w:type="dxa" w:w="30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F3B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26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F3B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Typical US price (2026)</w:t>
            </w:r>
          </w:p>
        </w:tc>
        <w:tc>
          <w:tcPr>
            <w:tcW w:type="dxa" w:w="37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F3B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dxa" w:w="30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AVIntelligence Pro</w:t>
            </w:r>
          </w:p>
        </w:tc>
        <w:tc>
          <w:tcPr>
            <w:tcW w:type="dxa" w:w="26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$12 / mo</w:t>
            </w:r>
          </w:p>
        </w:tc>
        <w:tc>
          <w:tcPr>
            <w:tcW w:type="dxa" w:w="37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1 TB, all reports, dashboards</w:t>
            </w:r>
          </w:p>
        </w:tc>
      </w:tr>
      <w:tr>
        <w:tc>
          <w:tcPr>
            <w:tcW w:type="dxa" w:w="30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Dext — Practice (firms)</w:t>
            </w:r>
          </w:p>
        </w:tc>
        <w:tc>
          <w:tcPr>
            <w:tcW w:type="dxa" w:w="26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$17.70 / client / mo</w:t>
            </w:r>
          </w:p>
        </w:tc>
        <w:tc>
          <w:tcPr>
            <w:tcW w:type="dxa" w:w="37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10-client minimum (~$239/mo)</w:t>
            </w:r>
          </w:p>
        </w:tc>
      </w:tr>
      <w:tr>
        <w:tc>
          <w:tcPr>
            <w:tcW w:type="dxa" w:w="30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Dext — Business</w:t>
            </w:r>
          </w:p>
        </w:tc>
        <w:tc>
          <w:tcPr>
            <w:tcW w:type="dxa" w:w="26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~$25 / mo</w:t>
            </w:r>
          </w:p>
        </w:tc>
        <w:tc>
          <w:tcPr>
            <w:tcW w:type="dxa" w:w="37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5 users / 250 docs, billed annually</w:t>
            </w:r>
          </w:p>
        </w:tc>
      </w:tr>
      <w:tr>
        <w:tc>
          <w:tcPr>
            <w:tcW w:type="dxa" w:w="30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AutoEntry</w:t>
            </w:r>
          </w:p>
        </w:tc>
        <w:tc>
          <w:tcPr>
            <w:tcW w:type="dxa" w:w="26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from ~$12 / mo</w:t>
            </w:r>
          </w:p>
        </w:tc>
        <w:tc>
          <w:tcPr>
            <w:tcW w:type="dxa" w:w="37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credit-based; scales with document volume</w:t>
            </w:r>
          </w:p>
        </w:tc>
      </w:tr>
      <w:tr>
        <w:tc>
          <w:tcPr>
            <w:tcW w:type="dxa" w:w="30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Expensify</w:t>
            </w:r>
          </w:p>
        </w:tc>
        <w:tc>
          <w:tcPr>
            <w:tcW w:type="dxa" w:w="26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$5–$9 / user / mo</w:t>
            </w:r>
          </w:p>
        </w:tc>
        <w:tc>
          <w:tcPr>
            <w:tcW w:type="dxa" w:w="37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per-user; receipts piece only</w:t>
            </w:r>
          </w:p>
        </w:tc>
      </w:tr>
    </w:tbl>
    <w:p>
      <w:pPr>
        <w:spacing w:after="120" w:line="276"/>
      </w:pPr>
      <w:r>
        <w:t xml:space="preserve">AVInt Pro lands roughly </w:t>
      </w:r>
      <w:r>
        <w:rPr>
          <w:b/>
          <w:bCs/>
        </w:rPr>
        <w:t xml:space="preserve">a third under Dext’s per-client plan and about half its Business plan</w:t>
      </w:r>
      <w:r>
        <w:t xml:space="preserve">. For a bookkeeper standardizing intake across many clients, that price gap is the opening line.</w:t>
      </w:r>
    </w:p>
    <w:p>
      <w:pPr>
        <w:pStyle w:val="Heading2"/>
        <w:spacing w:after="100" w:before="200"/>
      </w:pPr>
      <w:r>
        <w:t xml:space="preserve">Product fit</w:t>
      </w:r>
    </w:p>
    <w:p>
      <w:pPr>
        <w:spacing w:after="120" w:line="276"/>
      </w:pPr>
      <w:r>
        <w:t xml:space="preserve">The live product already produces the reports US partners care about — Expense and Income summaries, P&amp;L, Business Expense, Contract / Key-Terms summaries, and a </w:t>
      </w:r>
      <w:r>
        <w:rPr>
          <w:b/>
          <w:bCs/>
        </w:rPr>
        <w:t xml:space="preserve">Tax Bundle with IRS Schedule C-aligned categorization (2025 revision) plus a W-2 wages worksheet</w:t>
      </w:r>
      <w:r>
        <w:t xml:space="preserve">. That maps directly onto Schedule C filers and the bookkeepers who serve them. We organize the source documents; the partner does the accounting and the filing.</w:t>
      </w:r>
    </w:p>
    <w:p>
      <w:pPr>
        <w:pStyle w:val="Heading2"/>
        <w:spacing w:after="100" w:before="200"/>
      </w:pPr>
      <w:r>
        <w:t xml:space="preserve">The white-label frame (the part that disarms the fear)</w:t>
      </w:r>
    </w:p>
    <w:p>
      <w:pPr>
        <w:spacing w:after="120" w:line="276"/>
      </w:pPr>
      <w:r>
        <w:t xml:space="preserve">Clients can upload to a partner-branded surface and come back organized. The pitch to an accountant is therefore not “switch your books to us” — it’s “your client uses us upstream; you get a cleaner Friday.” In your own approved words: </w:t>
      </w:r>
    </w:p>
    <w:p>
      <w:pPr>
        <w:pBdr>
          <w:left w:val="single" w:color="2E6E8E" w:sz="18" w:space="8"/>
        </w:pBdr>
        <w:spacing w:after="140" w:before="40"/>
        <w:ind w:left="360"/>
      </w:pPr>
      <w:r>
        <w:rPr>
          <w:i/>
          <w:iCs/>
          <w:color w:val="1F3B4D"/>
          <w:sz w:val="22"/>
          <w:szCs w:val="22"/>
        </w:rPr>
        <w:t xml:space="preserve">“We’re the input layer to bookkeeping and tax prep — the part the existing tools assume you’ve already done.”</w:t>
      </w:r>
    </w:p>
    <w:p>
      <w:pPr>
        <w:pStyle w:val="Heading1"/>
        <w:spacing w:after="140" w:before="280"/>
      </w:pPr>
      <w:r>
        <w:t xml:space="preserve">4.  Who we sell through — three partner channels</w:t>
      </w:r>
    </w:p>
    <w:p>
      <w:pPr>
        <w:spacing w:after="120" w:line="276"/>
      </w:pPr>
      <w:r>
        <w:t xml:space="preserve">Priority order. Channel 1 is the lead; 2 and 3 run in support.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530"/>
        <w:gridCol w:w="3530"/>
      </w:tblGrid>
      <w:tr>
        <w:trPr>
          <w:tblHeader/>
        </w:trPr>
        <w:tc>
          <w:tcPr>
            <w:tcW w:type="dxa" w:w="23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F3B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Channel</w:t>
            </w:r>
          </w:p>
        </w:tc>
        <w:tc>
          <w:tcPr>
            <w:tcW w:type="dxa" w:w="353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F3B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Who they are</w:t>
            </w:r>
          </w:p>
        </w:tc>
        <w:tc>
          <w:tcPr>
            <w:tcW w:type="dxa" w:w="353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F3B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they get / how they earn</w:t>
            </w:r>
          </w:p>
        </w:tc>
      </w:tr>
      <w:tr>
        <w:tc>
          <w:tcPr>
            <w:tcW w:type="dxa" w:w="23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D9E1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1. Bookkeepers &amp; small CPA/tax practices</w:t>
            </w:r>
          </w:p>
        </w:tc>
        <w:tc>
          <w:tcPr>
            <w:tcW w:type="dxa" w:w="353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Solo bookkeepers, 2–5 person practices, 1–3 person CPA/tax shops, virtual bookkeepers. Out of scope: Big 4, audit-only, &gt;$50M-revenue clients.</w:t>
            </w:r>
          </w:p>
        </w:tc>
        <w:tc>
          <w:tcPr>
            <w:tcW w:type="dxa" w:w="353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White-label input layer + free Pro for their practice; Access ladder (free months) or cash; 30% wholesale resell; DFY service referrals.</w:t>
            </w:r>
          </w:p>
        </w:tc>
      </w:tr>
      <w:tr>
        <w:tc>
          <w:tcPr>
            <w:tcW w:type="dxa" w:w="23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D9E1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2. Business orgs &amp; coworking</w:t>
            </w:r>
          </w:p>
        </w:tc>
        <w:tc>
          <w:tcPr>
            <w:tcW w:type="dxa" w:w="353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Chambers of commerce, SCORE/SBDC, coworking spaces, Freelancers Union, accelerators, Realtor boards, seller communities.</w:t>
            </w:r>
          </w:p>
        </w:tc>
        <w:tc>
          <w:tcPr>
            <w:tcW w:type="dxa" w:w="353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Bulk Gift-Code / Day-Pass packs as a member perk; co-branded landing page; rev-share or Access for the org.</w:t>
            </w:r>
          </w:p>
        </w:tc>
      </w:tr>
      <w:tr>
        <w:tc>
          <w:tcPr>
            <w:tcW w:type="dxa" w:w="23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D9E1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3. Affiliates &amp; creators</w:t>
            </w:r>
          </w:p>
        </w:tc>
        <w:tc>
          <w:tcPr>
            <w:tcW w:type="dxa" w:w="353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Finance / freelance / tax educators and creators — YouTube, newsletters, podcasts, TikTok/IG, review sites, relevant subreddits.</w:t>
            </w:r>
          </w:p>
        </w:tc>
        <w:tc>
          <w:tcPr>
            <w:tcW w:type="dxa" w:w="353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30% recurring cash commission (40% top tier) via a unique trackable code/link.</w:t>
            </w:r>
          </w:p>
        </w:tc>
      </w:tr>
    </w:tbl>
    <w:p>
      <w:pPr>
        <w:spacing w:after="120" w:line="276"/>
      </w:pPr>
      <w:r>
        <w:t xml:space="preserve">The lead channel is chosen deliberately: bookkeepers have the pain (receipt-chasing, January–April cleanup, 1099 tracking), the budget, and a downstream client portfolio. Win one bookkeeper and you can place five to fifty clients. Specific targets and where to find them are in the companion prospect list.</w:t>
      </w:r>
    </w:p>
    <w:p>
      <w:r>
        <w:br w:type="page"/>
      </w:r>
    </w:p>
    <w:p>
      <w:pPr>
        <w:pStyle w:val="Heading1"/>
        <w:spacing w:after="140" w:before="280"/>
      </w:pPr>
      <w:r>
        <w:t xml:space="preserve">5.  What partners get — program design</w:t>
      </w:r>
    </w:p>
    <w:p>
      <w:pPr>
        <w:spacing w:after="120" w:line="276"/>
      </w:pPr>
      <w:r>
        <w:t xml:space="preserve">One program, three ways to earn so each channel gets the currency that motivates it. A partner picks a track; their </w:t>
      </w:r>
      <w:r>
        <w:rPr>
          <w:i/>
          <w:iCs/>
        </w:rPr>
        <w:t xml:space="preserve">tier</w:t>
      </w:r>
      <w:r>
        <w:t xml:space="preserve"> rises with the number of active paid referrals they sustain.</w:t>
      </w:r>
    </w:p>
    <w:p>
      <w:pPr>
        <w:pStyle w:val="Heading2"/>
        <w:spacing w:after="100" w:before="200"/>
      </w:pPr>
      <w:r>
        <w:t xml:space="preserve">Three ways to earn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Access track (free product) — your idea.</w:t>
      </w:r>
      <w:r>
        <w:t xml:space="preserve"> Best for bookkeepers, accountants, and orgs who use AVInt themselves. Earn free Pro access that scales with referrals: 3 active → 1 month free, 10 → 6 months free, 25 → a full free year. High perceived value, ~1% cost to us.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Cash track (recurring commission).</w:t>
      </w:r>
      <w:r>
        <w:t xml:space="preserve"> Best for affiliates and creators who monetize cash: 30% recurring (40% at the top tier), paid monthly for the life of the customer — the SaaS-affiliate standard.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Wholesale &amp; DFY resale.</w:t>
      </w:r>
      <w:r>
        <w:t xml:space="preserve"> Bookkeepers can buy Pro seats and code packs at 30% off (mirrors the QuickBooks ProAdvisor wholesale model) and resell, and can refer or white-label the done-for-you services ($149–$399) to clients who need them done.</w:t>
      </w:r>
    </w:p>
    <w:p>
      <w:pPr>
        <w:pStyle w:val="Heading2"/>
        <w:spacing w:after="100" w:before="200"/>
      </w:pPr>
      <w:r>
        <w:t xml:space="preserve">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650"/>
        <w:gridCol w:w="1500"/>
        <w:gridCol w:w="2200"/>
        <w:gridCol w:w="2760"/>
      </w:tblGrid>
      <w:tr>
        <w:trPr>
          <w:tblHeader/>
        </w:trPr>
        <w:tc>
          <w:tcPr>
            <w:tcW w:type="dxa" w:w="125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F3B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165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F3B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Active paid referrals</w:t>
            </w:r>
          </w:p>
        </w:tc>
        <w:tc>
          <w:tcPr>
            <w:tcW w:type="dxa" w:w="1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F3B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Cash track</w:t>
            </w:r>
          </w:p>
        </w:tc>
        <w:tc>
          <w:tcPr>
            <w:tcW w:type="dxa" w:w="22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F3B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Access reward (your ladder)</w:t>
            </w:r>
          </w:p>
        </w:tc>
        <w:tc>
          <w:tcPr>
            <w:tcW w:type="dxa" w:w="27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F3B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Other benefits</w:t>
            </w:r>
          </w:p>
        </w:tc>
      </w:tr>
      <w:tr>
        <w:tc>
          <w:tcPr>
            <w:tcW w:type="dxa" w:w="125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Registered</w:t>
            </w:r>
          </w:p>
        </w:tc>
        <w:tc>
          <w:tcPr>
            <w:tcW w:type="dxa" w:w="165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0 – 2</w:t>
            </w:r>
          </w:p>
        </w:tc>
        <w:tc>
          <w:tcPr>
            <w:tcW w:type="dxa" w:w="1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25% recurring</w:t>
            </w:r>
          </w:p>
        </w:tc>
        <w:tc>
          <w:tcPr>
            <w:tcW w:type="dxa" w:w="22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7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Unique code/link, welcome kit, marketing assets</w:t>
            </w:r>
          </w:p>
        </w:tc>
      </w:tr>
      <w:tr>
        <w:tc>
          <w:tcPr>
            <w:tcW w:type="dxa" w:w="125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BE4D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Bronze</w:t>
            </w:r>
          </w:p>
        </w:tc>
        <w:tc>
          <w:tcPr>
            <w:tcW w:type="dxa" w:w="165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3 – 9</w:t>
            </w:r>
          </w:p>
        </w:tc>
        <w:tc>
          <w:tcPr>
            <w:tcW w:type="dxa" w:w="1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30% recurring</w:t>
            </w:r>
          </w:p>
        </w:tc>
        <w:tc>
          <w:tcPr>
            <w:tcW w:type="dxa" w:w="22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1 month free Pro</w:t>
            </w:r>
          </w:p>
        </w:tc>
        <w:tc>
          <w:tcPr>
            <w:tcW w:type="dxa" w:w="27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Partner badge, onboarding help, email support</w:t>
            </w:r>
          </w:p>
        </w:tc>
      </w:tr>
      <w:tr>
        <w:tc>
          <w:tcPr>
            <w:tcW w:type="dxa" w:w="125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DDEB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Silver</w:t>
            </w:r>
          </w:p>
        </w:tc>
        <w:tc>
          <w:tcPr>
            <w:tcW w:type="dxa" w:w="165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10 – 24</w:t>
            </w:r>
          </w:p>
        </w:tc>
        <w:tc>
          <w:tcPr>
            <w:tcW w:type="dxa" w:w="1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35% recurring</w:t>
            </w:r>
          </w:p>
        </w:tc>
        <w:tc>
          <w:tcPr>
            <w:tcW w:type="dxa" w:w="22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6 months free Pro</w:t>
            </w:r>
          </w:p>
        </w:tc>
        <w:tc>
          <w:tcPr>
            <w:tcW w:type="dxa" w:w="27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“Find a Partner” listing, co-marketing, priority support</w:t>
            </w:r>
          </w:p>
        </w:tc>
      </w:tr>
      <w:tr>
        <w:tc>
          <w:tcPr>
            <w:tcW w:type="dxa" w:w="125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Gold</w:t>
            </w:r>
          </w:p>
        </w:tc>
        <w:tc>
          <w:tcPr>
            <w:tcW w:type="dxa" w:w="165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25 +</w:t>
            </w:r>
          </w:p>
        </w:tc>
        <w:tc>
          <w:tcPr>
            <w:tcW w:type="dxa" w:w="1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40% recurring</w:t>
            </w:r>
          </w:p>
        </w:tc>
        <w:tc>
          <w:tcPr>
            <w:tcW w:type="dxa" w:w="22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12 months free + free Pro while Gold</w:t>
            </w:r>
          </w:p>
        </w:tc>
        <w:tc>
          <w:tcPr>
            <w:tcW w:type="dxa" w:w="27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Featured partner, dedicated manager, early access, 30% wholesale</w:t>
            </w:r>
          </w:p>
        </w:tc>
      </w:tr>
    </w:tbl>
    <w:p>
      <w:pPr>
        <w:spacing w:after="120" w:line="276"/>
      </w:pPr>
      <w:r>
        <w:t xml:space="preserve">Partners choose Cash </w:t>
      </w:r>
      <w:r>
        <w:rPr>
          <w:i/>
          <w:iCs/>
        </w:rPr>
        <w:t xml:space="preserve">or</w:t>
      </w:r>
      <w:r>
        <w:t xml:space="preserve"> Access; Gold earns free Pro </w:t>
      </w:r>
      <w:r>
        <w:rPr>
          <w:i/>
          <w:iCs/>
        </w:rPr>
        <w:t xml:space="preserve">and</w:t>
      </w:r>
      <w:r>
        <w:t xml:space="preserve"> a 15% cash residual on overflow. Thresholds and rates are all editable inputs in the companion model.</w:t>
      </w:r>
    </w:p>
    <w:p>
      <w:pPr>
        <w:pStyle w:val="Heading2"/>
        <w:spacing w:after="100" w:before="200"/>
      </w:pPr>
      <w:r>
        <w:t xml:space="preserve">How the codes work (no new engineering to start)</w:t>
      </w:r>
    </w:p>
    <w:p>
      <w:pPr>
        <w:spacing w:after="120" w:line="276"/>
      </w:pPr>
      <w:r>
        <w:t xml:space="preserve">Each partner gets a unique gift-code batch / link. Day passes and gift codes sold or handed out under it are attributed to them; Pro sign-ups via the link count toward recurring commission and tier. Day passes double as a sales tool — a bookkeeper hands a client a pass to try the full product during a cleanup, which converts to Pro. Attribution can start manually from a Creem/Supabase export into a tracking sheet; a self-serve partner dashboard is a phase-2 nice-to-have, not a launch blocker.</w:t>
      </w:r>
    </w:p>
    <w:p>
      <w:pPr>
        <w:pStyle w:val="Heading1"/>
        <w:spacing w:after="140" w:before="280"/>
      </w:pPr>
      <w:r>
        <w:t xml:space="preserve">6.  The economics</w:t>
      </w:r>
    </w:p>
    <w:p>
      <w:pPr>
        <w:spacing w:after="120" w:line="276"/>
      </w:pPr>
      <w:r>
        <w:t xml:space="preserve">Defaults below; every figure is a live, editable formula in </w:t>
      </w:r>
      <w:r>
        <w:rPr>
          <w:i/>
          <w:iCs/>
        </w:rPr>
        <w:t xml:space="preserve">AVInt_Partner_Economics_Model.xlsx</w:t>
      </w:r>
      <w:r>
        <w:t xml:space="preserve">. Assumes $12 ARPU, 7%/mo churn (~14-month life), 75% gross margin, 30% standard commission.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100"/>
        <w:gridCol w:w="4560"/>
      </w:tblGrid>
      <w:tr>
        <w:trPr>
          <w:tblHeader/>
        </w:trPr>
        <w:tc>
          <w:tcPr>
            <w:tcW w:type="dxa" w:w="27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F3B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1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F3B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45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F3B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27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LTV — gross revenue</w:t>
            </w:r>
          </w:p>
        </w:tc>
        <w:tc>
          <w:tcPr>
            <w:tcW w:type="dxa" w:w="21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~$171</w:t>
            </w:r>
          </w:p>
        </w:tc>
        <w:tc>
          <w:tcPr>
            <w:tcW w:type="dxa" w:w="45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per Pro customer over their lifetime</w:t>
            </w:r>
          </w:p>
        </w:tc>
      </w:tr>
      <w:tr>
        <w:tc>
          <w:tcPr>
            <w:tcW w:type="dxa" w:w="27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LTV — gross profit</w:t>
            </w:r>
          </w:p>
        </w:tc>
        <w:tc>
          <w:tcPr>
            <w:tcW w:type="dxa" w:w="21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~$129</w:t>
            </w:r>
          </w:p>
        </w:tc>
        <w:tc>
          <w:tcPr>
            <w:tcW w:type="dxa" w:w="45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after 25% COGS (AI, storage, fees)</w:t>
            </w:r>
          </w:p>
        </w:tc>
      </w:tr>
      <w:tr>
        <w:tc>
          <w:tcPr>
            <w:tcW w:type="dxa" w:w="27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Net after 30% commission</w:t>
            </w:r>
          </w:p>
        </w:tc>
        <w:tc>
          <w:tcPr>
            <w:tcW w:type="dxa" w:w="21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~$77</w:t>
            </w:r>
          </w:p>
        </w:tc>
        <w:tc>
          <w:tcPr>
            <w:tcW w:type="dxa" w:w="45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what we keep per partner-referred customer</w:t>
            </w:r>
          </w:p>
        </w:tc>
      </w:tr>
      <w:tr>
        <w:tc>
          <w:tcPr>
            <w:tcW w:type="dxa" w:w="27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LTV : CAC vs paid ads</w:t>
            </w:r>
          </w:p>
        </w:tc>
        <w:tc>
          <w:tcPr>
            <w:tcW w:type="dxa" w:w="21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~2.6x</w:t>
            </w:r>
          </w:p>
        </w:tc>
        <w:tc>
          <w:tcPr>
            <w:tcW w:type="dxa" w:w="45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gross-profit LTV ÷ a $50 ad CAC; partner CAC is pay-as-you-earn</w:t>
            </w:r>
          </w:p>
        </w:tc>
      </w:tr>
      <w:tr>
        <w:tc>
          <w:tcPr>
            <w:tcW w:type="dxa" w:w="27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Free-access reward cost</w:t>
            </w:r>
          </w:p>
        </w:tc>
        <w:tc>
          <w:tcPr>
            <w:tcW w:type="dxa" w:w="21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~1% of revenue unlocked</w:t>
            </w:r>
          </w:p>
        </w:tc>
        <w:tc>
          <w:tcPr>
            <w:tcW w:type="dxa" w:w="45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1 mo free costs ~$3 to unlock ~$514; a free year costs ~$36 to unlock ~$4,286</w:t>
            </w:r>
          </w:p>
        </w:tc>
      </w:tr>
    </w:tbl>
    <w:p>
      <w:pPr>
        <w:spacing w:after="120" w:line="276"/>
      </w:pPr>
      <w:r>
        <w:t xml:space="preserve">12-month channel scenarios (partner-driven only):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100"/>
        <w:gridCol w:w="1700"/>
        <w:gridCol w:w="1900"/>
        <w:gridCol w:w="1960"/>
      </w:tblGrid>
      <w:tr>
        <w:trPr>
          <w:tblHeader/>
        </w:trPr>
        <w:tc>
          <w:tcPr>
            <w:tcW w:type="dxa" w:w="17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F3B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21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F3B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Active Pro subs (M12)</w:t>
            </w:r>
          </w:p>
        </w:tc>
        <w:tc>
          <w:tcPr>
            <w:tcW w:type="dxa" w:w="17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F3B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MRR (M12)</w:t>
            </w:r>
          </w:p>
        </w:tc>
        <w:tc>
          <w:tcPr>
            <w:tcW w:type="dxa" w:w="19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F3B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ARR run-rate (M12)</w:t>
            </w:r>
          </w:p>
        </w:tc>
        <w:tc>
          <w:tcPr>
            <w:tcW w:type="dxa" w:w="19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F3B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Cumulative net contribution</w:t>
            </w:r>
          </w:p>
        </w:tc>
      </w:tr>
      <w:tr>
        <w:tc>
          <w:tcPr>
            <w:tcW w:type="dxa" w:w="17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Conservative</w:t>
            </w:r>
          </w:p>
        </w:tc>
        <w:tc>
          <w:tcPr>
            <w:tcW w:type="dxa" w:w="21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~244</w:t>
            </w:r>
          </w:p>
        </w:tc>
        <w:tc>
          <w:tcPr>
            <w:tcW w:type="dxa" w:w="17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~$2,930</w:t>
            </w:r>
          </w:p>
        </w:tc>
        <w:tc>
          <w:tcPr>
            <w:tcW w:type="dxa" w:w="19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~$35K</w:t>
            </w:r>
          </w:p>
        </w:tc>
        <w:tc>
          <w:tcPr>
            <w:tcW w:type="dxa" w:w="19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~$7.9K</w:t>
            </w:r>
          </w:p>
        </w:tc>
      </w:tr>
      <w:tr>
        <w:tc>
          <w:tcPr>
            <w:tcW w:type="dxa" w:w="17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Base</w:t>
            </w:r>
          </w:p>
        </w:tc>
        <w:tc>
          <w:tcPr>
            <w:tcW w:type="dxa" w:w="21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~733</w:t>
            </w:r>
          </w:p>
        </w:tc>
        <w:tc>
          <w:tcPr>
            <w:tcW w:type="dxa" w:w="17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~$8,800</w:t>
            </w:r>
          </w:p>
        </w:tc>
        <w:tc>
          <w:tcPr>
            <w:tcW w:type="dxa" w:w="19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~$106K</w:t>
            </w:r>
          </w:p>
        </w:tc>
        <w:tc>
          <w:tcPr>
            <w:tcW w:type="dxa" w:w="19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~$25K</w:t>
            </w:r>
          </w:p>
        </w:tc>
      </w:tr>
      <w:tr>
        <w:tc>
          <w:tcPr>
            <w:tcW w:type="dxa" w:w="17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Stretch</w:t>
            </w:r>
          </w:p>
        </w:tc>
        <w:tc>
          <w:tcPr>
            <w:tcW w:type="dxa" w:w="21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~2,291</w:t>
            </w:r>
          </w:p>
        </w:tc>
        <w:tc>
          <w:tcPr>
            <w:tcW w:type="dxa" w:w="17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~$27,500</w:t>
            </w:r>
          </w:p>
        </w:tc>
        <w:tc>
          <w:tcPr>
            <w:tcW w:type="dxa" w:w="19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~$330K</w:t>
            </w:r>
          </w:p>
        </w:tc>
        <w:tc>
          <w:tcPr>
            <w:tcW w:type="dxa" w:w="19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~$81K</w:t>
            </w:r>
          </w:p>
        </w:tc>
      </w:tr>
    </w:tbl>
    <w:p>
      <w:pPr>
        <w:spacing w:after="120" w:line="276"/>
      </w:pPr>
      <w:r>
        <w:t xml:space="preserve">These count recurring SaaS only. Day-pass volume and the seasonal DFY services ($149–$399) are additional, and land hardest in the Aug–Oct extension window and the Jan–Apr tax season.</w:t>
      </w:r>
    </w:p>
    <w:p>
      <w:r>
        <w:br w:type="page"/>
      </w:r>
    </w:p>
    <w:p>
      <w:pPr>
        <w:pStyle w:val="Heading1"/>
        <w:spacing w:after="140" w:before="280"/>
      </w:pPr>
      <w:r>
        <w:t xml:space="preserve">7.  How we execute — 90-day rollout</w:t>
      </w:r>
    </w:p>
    <w:p>
      <w:pPr>
        <w:spacing w:after="120" w:line="276"/>
      </w:pPr>
      <w:r>
        <w:t xml:space="preserve">Timed to the season. Late May / June is the quiet pre-season — the right moment to recruit, so the channel is primed for the Aug–Oct extension peak and the Jan–Apr tax season.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4100"/>
        <w:gridCol w:w="2060"/>
      </w:tblGrid>
      <w:tr>
        <w:trPr>
          <w:tblHeader/>
        </w:trPr>
        <w:tc>
          <w:tcPr>
            <w:tcW w:type="dxa" w:w="17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F3B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1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F3B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Timing</w:t>
            </w:r>
          </w:p>
        </w:tc>
        <w:tc>
          <w:tcPr>
            <w:tcW w:type="dxa" w:w="41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F3B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  <w:tc>
          <w:tcPr>
            <w:tcW w:type="dxa" w:w="20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F3B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</w:tr>
      <w:tr>
        <w:tc>
          <w:tcPr>
            <w:tcW w:type="dxa" w:w="17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0. Stand up</w:t>
            </w:r>
          </w:p>
        </w:tc>
        <w:tc>
          <w:tcPr>
            <w:tcW w:type="dxa" w:w="1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Wk 1–2 (June)</w:t>
            </w:r>
          </w:p>
        </w:tc>
        <w:tc>
          <w:tcPr>
            <w:tcW w:type="dxa" w:w="41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Lock terms, disclaimers, and tier thresholds; cut partner code batches on the existing system; set up the attribution tracking sheet; publish a simple apply form + partner page.</w:t>
            </w:r>
          </w:p>
        </w:tc>
        <w:tc>
          <w:tcPr>
            <w:tcW w:type="dxa" w:w="20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Program live, no eng dependency</w:t>
            </w:r>
          </w:p>
        </w:tc>
      </w:tr>
      <w:tr>
        <w:tc>
          <w:tcPr>
            <w:tcW w:type="dxa" w:w="17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1. Design partners</w:t>
            </w:r>
          </w:p>
        </w:tc>
        <w:tc>
          <w:tcPr>
            <w:tcW w:type="dxa" w:w="1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Wk 3–6 (June–July)</w:t>
            </w:r>
          </w:p>
        </w:tc>
        <w:tc>
          <w:tcPr>
            <w:tcW w:type="dxa" w:w="41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Recruit 10–15 bookkeepers from warm + LinkedIn lists; free Pro + code batch each; run a ~5-client pilot per partner; gather feedback.</w:t>
            </w:r>
          </w:p>
        </w:tc>
        <w:tc>
          <w:tcPr>
            <w:tcW w:type="dxa" w:w="20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10–15 partners; 3+ real conversations</w:t>
            </w:r>
          </w:p>
        </w:tc>
      </w:tr>
      <w:tr>
        <w:tc>
          <w:tcPr>
            <w:tcW w:type="dxa" w:w="17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2. Open the channels</w:t>
            </w:r>
          </w:p>
        </w:tc>
        <w:tc>
          <w:tcPr>
            <w:tcW w:type="dxa" w:w="1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Wk 7–10 (July–Aug)</w:t>
            </w:r>
          </w:p>
        </w:tc>
        <w:tc>
          <w:tcPr>
            <w:tcW w:type="dxa" w:w="41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Launch affiliate/creator track + apply page; begin org/coworking outreach; prep Extension-Rescue co-marketing.</w:t>
            </w:r>
          </w:p>
        </w:tc>
        <w:tc>
          <w:tcPr>
            <w:tcW w:type="dxa" w:w="20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First cash partners live; DFY referrals start</w:t>
            </w:r>
          </w:p>
        </w:tc>
      </w:tr>
      <w:tr>
        <w:tc>
          <w:tcPr>
            <w:tcW w:type="dxa" w:w="17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3. Scale into peak</w:t>
            </w:r>
          </w:p>
        </w:tc>
        <w:tc>
          <w:tcPr>
            <w:tcW w:type="dxa" w:w="15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Wk 11–13 (Aug–Sep)</w:t>
            </w:r>
          </w:p>
        </w:tc>
        <w:tc>
          <w:tcPr>
            <w:tcW w:type="dxa" w:w="41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Push into extension season; add tiers/leaderboard; review economics; decide on any paid spend.</w:t>
            </w:r>
          </w:p>
        </w:tc>
        <w:tc>
          <w:tcPr>
            <w:tcW w:type="dxa" w:w="20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Channel producing; tiers active</w:t>
            </w:r>
          </w:p>
        </w:tc>
      </w:tr>
    </w:tbl>
    <w:p>
      <w:pPr>
        <w:spacing w:after="120" w:line="276"/>
      </w:pPr>
      <w:r>
        <w:t xml:space="preserve">Two standing rules from your docs: every external message is a </w:t>
      </w:r>
      <w:r>
        <w:rPr>
          <w:b/>
          <w:bCs/>
        </w:rPr>
        <w:t xml:space="preserve">draft for your approval</w:t>
      </w:r>
      <w:r>
        <w:t xml:space="preserve"> (nothing auto-sends), and </w:t>
      </w:r>
      <w:r>
        <w:rPr>
          <w:b/>
          <w:bCs/>
        </w:rPr>
        <w:t xml:space="preserve">no paid ad spend</w:t>
      </w:r>
      <w:r>
        <w:t xml:space="preserve"> until organic partner outreach has produced at least three real conversations — validate the channel before funding it.</w:t>
      </w:r>
    </w:p>
    <w:p>
      <w:pPr>
        <w:pStyle w:val="Heading1"/>
        <w:spacing w:after="140" w:before="280"/>
      </w:pPr>
      <w:r>
        <w:t xml:space="preserve">8.  KPIs &amp; targets</w:t>
      </w:r>
    </w:p>
    <w:p>
      <w:pPr>
        <w:spacing w:after="120" w:line="276"/>
      </w:pPr>
      <w:r>
        <w:t xml:space="preserve">North-star: </w:t>
      </w:r>
      <w:r>
        <w:rPr>
          <w:b/>
          <w:bCs/>
        </w:rPr>
        <w:t xml:space="preserve">partner-attributed MRR</w:t>
      </w:r>
      <w:r>
        <w:t xml:space="preserve">. Watch these leading indicators weekly: partners signed, active partners (≥1 referral / 30 days), referrals per partner, Day-Pass→Pro conversion, DFY referrals, and code packs sold.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F3B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Horizon</w:t>
            </w:r>
          </w:p>
        </w:tc>
        <w:tc>
          <w:tcPr>
            <w:tcW w:type="dxa" w:w="76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F3B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dxa" w:w="17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30 days</w:t>
            </w:r>
          </w:p>
        </w:tc>
        <w:tc>
          <w:tcPr>
            <w:tcW w:type="dxa" w:w="76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Program live; 10–15 design partners signed; 3+ real partner conversations (this unlocks any paid spend).</w:t>
            </w:r>
          </w:p>
        </w:tc>
      </w:tr>
      <w:tr>
        <w:tc>
          <w:tcPr>
            <w:tcW w:type="dxa" w:w="17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90 days</w:t>
            </w:r>
          </w:p>
        </w:tc>
        <w:tc>
          <w:tcPr>
            <w:tcW w:type="dxa" w:w="76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~25 active partners; ~30–50 partner-referred paid accounts; first DFY service referrals; tiers in use.</w:t>
            </w:r>
          </w:p>
        </w:tc>
      </w:tr>
      <w:tr>
        <w:tc>
          <w:tcPr>
            <w:tcW w:type="dxa" w:w="17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12 months</w:t>
            </w:r>
          </w:p>
        </w:tc>
        <w:tc>
          <w:tcPr>
            <w:tcW w:type="dxa" w:w="76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Base case: ~700+ active partner-referred Pro subs and a ~$106K ARR run-rate, plus seasonal DFY revenue. Floor ~$35K; stretch ~$330K.</w:t>
            </w:r>
          </w:p>
        </w:tc>
      </w:tr>
    </w:tbl>
    <w:p>
      <w:pPr>
        <w:pStyle w:val="Heading1"/>
        <w:spacing w:after="140" w:before="280"/>
      </w:pPr>
      <w:r>
        <w:t xml:space="preserve">9. 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F3B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61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1F3B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32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“This tool will replace me” (accountants)</w:t>
            </w:r>
          </w:p>
        </w:tc>
        <w:tc>
          <w:tcPr>
            <w:tcW w:type="dxa" w:w="61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Lead with the input-layer / white-label frame. We never touch the GL or filing; the partner stays the professional of record.</w:t>
            </w:r>
          </w:p>
        </w:tc>
      </w:tr>
      <w:tr>
        <w:tc>
          <w:tcPr>
            <w:tcW w:type="dxa" w:w="32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Channel conflict (wholesale vs. direct price)</w:t>
            </w:r>
          </w:p>
        </w:tc>
        <w:tc>
          <w:tcPr>
            <w:tcW w:type="dxa" w:w="61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Hold a wholesale floor; never let resale undercut direct pricing on the public site.</w:t>
            </w:r>
          </w:p>
        </w:tc>
      </w:tr>
      <w:tr>
        <w:tc>
          <w:tcPr>
            <w:tcW w:type="dxa" w:w="32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Attribution gaming / code abuse</w:t>
            </w:r>
          </w:p>
        </w:tc>
        <w:tc>
          <w:tcPr>
            <w:tcW w:type="dxa" w:w="61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Rewards require active paid accounts; cap per-partner free access to their own practice seats; monitor redemptions.</w:t>
            </w:r>
          </w:p>
        </w:tc>
      </w:tr>
      <w:tr>
        <w:tc>
          <w:tcPr>
            <w:tcW w:type="dxa" w:w="32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Margin if many partners hit Gold</w:t>
            </w:r>
          </w:p>
        </w:tc>
        <w:tc>
          <w:tcPr>
            <w:tcW w:type="dxa" w:w="61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Model stays net-positive even at top tier; free access is ~1% of revenue unlocked and capped to own-use seats.</w:t>
            </w:r>
          </w:p>
        </w:tc>
      </w:tr>
      <w:tr>
        <w:tc>
          <w:tcPr>
            <w:tcW w:type="dxa" w:w="32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Positioning / compliance drift</w:t>
            </w:r>
          </w:p>
        </w:tc>
        <w:tc>
          <w:tcPr>
            <w:tcW w:type="dxa" w:w="61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All copy passes the IS/IS-NOT lines and required disclaimers; auto-reject the banned claims.</w:t>
            </w:r>
          </w:p>
        </w:tc>
      </w:tr>
      <w:tr>
        <w:tc>
          <w:tcPr>
            <w:tcW w:type="dxa" w:w="32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Support load from multi-client partners</w:t>
            </w:r>
          </w:p>
        </w:tc>
        <w:tc>
          <w:tcPr>
            <w:tcW w:type="dxa" w:w="61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Tier-gated priority support; white-label and self-serve reduce partner-side load.</w:t>
            </w:r>
          </w:p>
        </w:tc>
      </w:tr>
      <w:tr>
        <w:tc>
          <w:tcPr>
            <w:tcW w:type="dxa" w:w="32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Seasonality</w:t>
            </w:r>
          </w:p>
        </w:tc>
        <w:tc>
          <w:tcPr>
            <w:tcW w:type="dxa" w:w="61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Recruit in the quiet months; use the DFY seasonal calendar to time pushes.</w:t>
            </w:r>
          </w:p>
        </w:tc>
      </w:tr>
      <w:tr>
        <w:tc>
          <w:tcPr>
            <w:tcW w:type="dxa" w:w="320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Engineering capacity is allocated elsewhere</w:t>
            </w:r>
          </w:p>
        </w:tc>
        <w:tc>
          <w:tcPr>
            <w:tcW w:type="dxa" w:w="6160"/>
            <w:tcBorders>
              <w:top w:val="single" w:color="BFC9D4" w:sz="1"/>
              <w:left w:val="single" w:color="BFC9D4" w:sz="1"/>
              <w:bottom w:val="single" w:color="BFC9D4" w:sz="1"/>
              <w:right w:val="single" w:color="BFC9D4" w:sz="1"/>
            </w:tcBorders>
            <w:shd w:fill="F4F7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Launch entirely on existing surface (gift codes, Creem); partner dashboard is phase-2, optional.</w:t>
            </w:r>
          </w:p>
        </w:tc>
      </w:tr>
    </w:tbl>
    <w:p>
      <w:pPr>
        <w:pStyle w:val="Heading1"/>
        <w:spacing w:after="140" w:before="280"/>
      </w:pPr>
      <w:r>
        <w:t xml:space="preserve">10.  Immediate next actions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Approve the tier thresholds and reward rates</w:t>
      </w:r>
      <w:r>
        <w:t xml:space="preserve"> in Section 5 (or edit them in the model).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Lock the partner-tier pricing TODOs</w:t>
      </w:r>
      <w:r>
        <w:t xml:space="preserve"> in product-positioning.md and the ICP docs using these tiers.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Cut a unique gift-code batch / link per design partner</w:t>
      </w:r>
      <w:r>
        <w:t xml:space="preserve"> and stand up the attribution tracking sheet.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Publish a one-page partner apply form and a simple partner page</w:t>
      </w:r>
      <w:r>
        <w:t xml:space="preserve"> (no heavy build).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Approve the outreach kit</w:t>
      </w:r>
      <w:r>
        <w:t xml:space="preserve"> (companion doc) and pull a first list of ~30 bookkeepers from the prospect list.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Send the first 10–15 first-touch drafts for your review</w:t>
      </w:r>
      <w:r>
        <w:t xml:space="preserve"> — LinkedIn DM + email, manual only.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Update strategy-context.md</w:t>
      </w:r>
      <w:r>
        <w:t xml:space="preserve"> to set US/NA as the current primary motion.</w:t>
      </w:r>
    </w:p>
    <w:p>
      <w:pPr>
        <w:pStyle w:val="Heading1"/>
        <w:spacing w:after="140" w:before="280"/>
      </w:pPr>
      <w:r>
        <w:t xml:space="preserve">Companion files</w:t>
      </w:r>
    </w:p>
    <w:p>
      <w:pPr>
        <w:spacing w:after="120" w:line="276"/>
      </w:pPr>
      <w:r>
        <w:rPr>
          <w:b/>
          <w:bCs/>
        </w:rPr>
        <w:t xml:space="preserve">AVInt_Partner_Economics_Model.xlsx</w:t>
      </w:r>
      <w:r>
        <w:t xml:space="preserve"> — editable economics: assumptions, unit economics, reward tiers, 12-month scenarios.</w:t>
      </w:r>
    </w:p>
    <w:p>
      <w:pPr>
        <w:spacing w:after="120" w:line="276"/>
      </w:pPr>
      <w:r>
        <w:rPr>
          <w:b/>
          <w:bCs/>
        </w:rPr>
        <w:t xml:space="preserve">AVInt_Target_Partners.xlsx</w:t>
      </w:r>
      <w:r>
        <w:t xml:space="preserve"> — categorized prospect list + sourcing playbook + tracker.</w:t>
      </w:r>
    </w:p>
    <w:p>
      <w:pPr>
        <w:spacing w:after="120" w:line="276"/>
      </w:pPr>
      <w:r>
        <w:rPr>
          <w:b/>
          <w:bCs/>
        </w:rPr>
        <w:t xml:space="preserve">AVInt_Partner_Outreach_Kit.docx</w:t>
      </w:r>
      <w:r>
        <w:t xml:space="preserve"> — partner one-pager and approval-ready email / DM templates in the founder voice.</w:t>
      </w:r>
    </w:p>
    <w:p>
      <w:pPr>
        <w:pStyle w:val="Heading1"/>
        <w:spacing w:after="140" w:before="280"/>
      </w:pPr>
      <w:r>
        <w:t xml:space="preserve">Appendix — sources</w:t>
      </w:r>
    </w:p>
    <w:p>
      <w:pPr>
        <w:spacing w:after="120" w:line="276"/>
      </w:pPr>
      <w:r>
        <w:rPr>
          <w:color w:val="595959"/>
          <w:sz w:val="19"/>
          <w:szCs w:val="19"/>
        </w:rPr>
        <w:t xml:space="preserve">Market &amp; competitor pricing (verified May 2026): Dext (dext.com, costbench.com), Expensify, AutoEntry/Datamolino comparison, QuickBooks ProAdvisor Preferred Pricing, Xero partner program, Tapfiliate SaaS affiliate benchmarks. Product facts: avintph.com, avintph.com/pricing, and the AVInt GitHub README. Internal: the sales-and-marketing positioning, voice, and ICP documents.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AVIntelligence — Partner Sales Strategy &amp; Program  ·  Internal  ·  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9E1F2" w:sz="6" w:space="4"/>
      </w:pBdr>
      <w:spacing w:after="140" w:before="280"/>
      <w:outlineLvl w:val="0"/>
    </w:pPr>
    <w:rPr>
      <w:rFonts w:ascii="Arial" w:cs="Arial" w:eastAsia="Arial" w:hAnsi="Arial"/>
      <w:b/>
      <w:bCs/>
      <w:color w:val="1F3B4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6E8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2026-05-31T11:52:04.723Z</dcterms:created>
  <dcterms:modified xsi:type="dcterms:W3CDTF">2026-05-31T11:52:04.723Z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