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43 - 1.21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approaches (car example)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 strategy: keeps what is in place and adapt what is new to current categories/regulations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categories, new legislations that can also come from adapting/extending a law already in place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technology: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what already exists in normative architecture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categories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EU AI act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first regulation: immediately valid in all member states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real idea: as with GDPR it will be copied and implemented in other big marchets (become almost global)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lay down rules on AI, rules that balanced two things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 of fundamental rights and values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need for business and the markets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52021PC0206 - EN - EUR-Lex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EU started as a common market, proposal for regulation also business oriented. Can be something strong and also something weak (does not provided right for transparency, don’t let people to make a complaint)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parts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part 1</w:t>
      </w:r>
      <w:r w:rsidDel="00000000" w:rsidR="00000000" w:rsidRPr="00000000">
        <w:rPr>
          <w:rtl w:val="0"/>
        </w:rPr>
        <w:t xml:space="preserve"> aim of regulation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part 2: ai system in a risk based way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part 3: details about the governance and control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hardware, just software. Limits to a given set of human defined sets. Ai agents might follow objectisve non explicitly programmed. Seems to be exlcuded from the regulation, can be a problem for new AI system.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EU AI act part 2: title 2 what’s prohibited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5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social scoring: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ur-lex.europa.eu/legal-content/EN/TXT/?uri=celex%3A52021PC0206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