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1.2 The importance of meaning</w:t>
      </w:r>
    </w:p>
    <w:p w:rsidR="00000000" w:rsidDel="00000000" w:rsidP="00000000" w:rsidRDefault="00000000" w:rsidRPr="00000000" w14:paraId="00000002">
      <w:pPr>
        <w:rPr/>
      </w:pPr>
      <w:r w:rsidDel="00000000" w:rsidR="00000000" w:rsidRPr="00000000">
        <w:rPr>
          <w:rtl w:val="0"/>
        </w:rPr>
        <w:t xml:space="preserve">Important of meaning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Understand: ability to grasp the meaning of information, correct interpretation of information content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Correct interpretation depends on</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syntax</w:t>
      </w:r>
      <w:r w:rsidDel="00000000" w:rsidR="00000000" w:rsidRPr="00000000">
        <w:rPr>
          <w:rtl w:val="0"/>
        </w:rPr>
        <w:t xml:space="preserve">: normative structure of the data you are using, basic building block, what is allowed and which is not. Does not tell you anything about the meaning of the things you are doing</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semantic</w:t>
      </w:r>
      <w:r w:rsidDel="00000000" w:rsidR="00000000" w:rsidRPr="00000000">
        <w:rPr>
          <w:rtl w:val="0"/>
        </w:rPr>
        <w:t xml:space="preserve">: study of meaning. Focus on the sense and meaning of language or symbols of the language. Is the study of interpretation of symbols. Uses the rules of syntax to derive the meaning of more complex things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context</w:t>
      </w:r>
      <w:r w:rsidDel="00000000" w:rsidR="00000000" w:rsidRPr="00000000">
        <w:rPr>
          <w:rtl w:val="0"/>
        </w:rPr>
        <w:t xml:space="preserve">: define the right semantics, the right way to interpret a message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pragmatics: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experience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