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0ztftofhrde" w:id="0"/>
      <w:bookmarkEnd w:id="0"/>
      <w:r w:rsidDel="00000000" w:rsidR="00000000" w:rsidRPr="00000000">
        <w:rPr>
          <w:rtl w:val="0"/>
        </w:rPr>
        <w:t xml:space="preserve">Customer LifeTime Value (CLTV) - Main Goal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Goal: analyze past behavior of customers to estimate economic value that customers will have in the future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Methodological approach: 3 different approaches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Traditional approach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176838" cy="10405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040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m: average spending of customers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f: average purchase frequency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t: average duration of the relationship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r: revenue of a customer (r=mf)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p: company’s profit percentage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i: discount rate (interest applied to reduce future cash flows, usually 10%)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c: churn rate (percentage of customers who leaving the company in the period)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Predictive approach -  ML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Predictive approach - Econometric models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