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9ulq88400f7" w:id="0"/>
      <w:bookmarkEnd w:id="0"/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listening to customers’ needs and their opinions regarding the company and its offer.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Important: retain loyal customers → cost up 5 times more to attract new customers than retaining an existing 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Virtuous circle of customer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satisfied customers influence other potential customers.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27357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73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BRS (Brand Recommendation Score) Index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Supporters</w:t>
      </w:r>
      <w:r w:rsidDel="00000000" w:rsidR="00000000" w:rsidRPr="00000000">
        <w:rPr>
          <w:rtl w:val="0"/>
        </w:rPr>
        <w:t xml:space="preserve">: customers with a score between 8 and 10. Very loyal to brand and could become brand ambassadors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: score between 6 and 7. On average satisfied, but could switch to competitor if driven by appropriate marketing actions, not particularly loyal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Opponents</w:t>
      </w:r>
      <w:r w:rsidDel="00000000" w:rsidR="00000000" w:rsidRPr="00000000">
        <w:rPr>
          <w:rtl w:val="0"/>
        </w:rPr>
        <w:t xml:space="preserve">: score between 0 and 5. Dissatisfied customers who could complain about negative experiences via reviews.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Brand Recommendation Score</w:t>
      </w:r>
      <w:r w:rsidDel="00000000" w:rsidR="00000000" w:rsidRPr="00000000">
        <w:rPr>
          <w:rtl w:val="0"/>
        </w:rPr>
        <w:t xml:space="preserve"> calculated by subtracting percentage of detractors from promoters. BRS can be between -100 (all customers detractors) and +100 (all customers promoters).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rtl w:val="0"/>
        </w:rPr>
        <w:t xml:space="preserve">BRS = % supporters - % opponents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Customer satisfaction: methodological approach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757738" cy="229035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290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Customers satisfaction - traditional approach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lwe2hekayiwi" w:id="1"/>
      <w:bookmarkEnd w:id="1"/>
      <w:r w:rsidDel="00000000" w:rsidR="00000000" w:rsidRPr="00000000">
        <w:rPr>
          <w:rtl w:val="0"/>
        </w:rPr>
        <w:t xml:space="preserve">Customers and employees’ satisfaction - innovative approach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Goal: compute unique weighted satisfaction score that reflects customers and employees’ perception from multiple point of view.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Value delivered: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identification of routes to customer and employees’ loyalty with data driven approach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bottom up understanding of dissatisfaction triggers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updates of score to understand variation over time of all satisfaction drivers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insights on relation between satisfaction index and revenues’ increase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338499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384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