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Written exam (18 max)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Oral presentation of the project work (12 max): groups 3-4 students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Elective activities (5 max):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 reading/analysis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to participate in a practical research activity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exercises/activities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federico.cabitza@unimib.it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</w:t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silvia.serino@unimib.it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francesco.zanatta@unipv.it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 hours frontal lesson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 hours for guided practical 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Written test (18 points): multiple choice on course materials (slides and additional reading)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Oral (12 points): presentation of the working project developed during the course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Additional points (1 to 5): for those who will present a written report of the project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rtl w:val="0"/>
        </w:rPr>
        <w:t xml:space="preserve">applications are designed for human needs</w:t>
      </w:r>
      <w:r w:rsidDel="00000000" w:rsidR="00000000" w:rsidRPr="00000000">
        <w:rPr>
          <w:rtl w:val="0"/>
        </w:rPr>
        <w:t xml:space="preserve">. Applications are easy, clear to use and efficient (sometimes also enjoyable).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Others designed for performing a set of functions, can be harder to use. Interaction might be less efficient.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Slide 16 - ADA (symptom assessment mobile app). Users introduced to the system some medical information about themself.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system was able to infer some suggestions for the next step of the individual. Starting from the symptoms ADA gave some suggestions.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Researched them asked users to evaluate the interaction with the mobile app (survey). Another researched collected all the reports and data from all those human-AI interaction similar to 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What does it emerge?</w:t>
      </w:r>
      <w:r w:rsidDel="00000000" w:rsidR="00000000" w:rsidRPr="00000000">
        <w:rPr>
          <w:rtl w:val="0"/>
        </w:rPr>
        <w:t xml:space="preserve"> Despite advancements in AI in developing and classification models, </w:t>
      </w:r>
      <w:r w:rsidDel="00000000" w:rsidR="00000000" w:rsidRPr="00000000">
        <w:rPr>
          <w:u w:val="single"/>
          <w:rtl w:val="0"/>
        </w:rPr>
        <w:t xml:space="preserve">little research has been devoted to real-world translations with a user-centered design approach</w:t>
      </w:r>
      <w:r w:rsidDel="00000000" w:rsidR="00000000" w:rsidRPr="00000000">
        <w:rPr>
          <w:rtl w:val="0"/>
        </w:rPr>
        <w:t xml:space="preserve">. Many AI development studies in health care have ignored two critical factors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Ecological validity (context)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 cognition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⟹ create challenges with the interaction of clinicians and the clinical environment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ederico.cabitza@unimib.it" TargetMode="External"/><Relationship Id="rId7" Type="http://schemas.openxmlformats.org/officeDocument/2006/relationships/hyperlink" Target="mailto:silvia.serino@unimib.it" TargetMode="External"/><Relationship Id="rId8" Type="http://schemas.openxmlformats.org/officeDocument/2006/relationships/hyperlink" Target="mailto:francesco.zanatta@unipv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