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E0F9" w14:textId="77777777" w:rsidR="00D46386" w:rsidRPr="00D46386" w:rsidRDefault="00D46386" w:rsidP="00D46386">
      <w:pPr>
        <w:pStyle w:val="MDPI41tablecaption"/>
        <w:spacing w:before="0"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D46386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Pr="00D463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D8A056" w14:textId="77E79938" w:rsidR="00D46386" w:rsidRPr="00D46386" w:rsidRDefault="00D46386" w:rsidP="00D46386">
      <w:pPr>
        <w:pStyle w:val="MDPI41tablecaption"/>
        <w:spacing w:before="0" w:after="0"/>
        <w:ind w:left="426"/>
        <w:rPr>
          <w:rFonts w:ascii="Times New Roman" w:hAnsi="Times New Roman" w:cs="Times New Roman"/>
          <w:sz w:val="24"/>
          <w:szCs w:val="24"/>
        </w:rPr>
      </w:pPr>
      <w:r w:rsidRPr="00D46386">
        <w:rPr>
          <w:rFonts w:ascii="Times New Roman" w:hAnsi="Times New Roman" w:cs="Times New Roman"/>
          <w:sz w:val="24"/>
          <w:szCs w:val="24"/>
        </w:rPr>
        <w:t xml:space="preserve"> Comparison of methods for extracting data from web tables</w:t>
      </w:r>
    </w:p>
    <w:tbl>
      <w:tblPr>
        <w:tblStyle w:val="-2"/>
        <w:tblW w:w="7872" w:type="dxa"/>
        <w:tblInd w:w="583" w:type="dxa"/>
        <w:tblLayout w:type="fixed"/>
        <w:tblLook w:val="0600" w:firstRow="0" w:lastRow="0" w:firstColumn="0" w:lastColumn="0" w:noHBand="1" w:noVBand="1"/>
      </w:tblPr>
      <w:tblGrid>
        <w:gridCol w:w="1493"/>
        <w:gridCol w:w="1964"/>
        <w:gridCol w:w="1965"/>
        <w:gridCol w:w="2450"/>
      </w:tblGrid>
      <w:tr w:rsidR="00D46386" w:rsidRPr="00D46386" w14:paraId="42C4FD8D" w14:textId="77777777" w:rsidTr="00D46386">
        <w:tc>
          <w:tcPr>
            <w:tcW w:w="1493" w:type="dxa"/>
          </w:tcPr>
          <w:p w14:paraId="568BC4A7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Limitation</w:t>
            </w:r>
          </w:p>
        </w:tc>
        <w:tc>
          <w:tcPr>
            <w:tcW w:w="1964" w:type="dxa"/>
          </w:tcPr>
          <w:p w14:paraId="4B042A76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Way to overcome the limitation, represented in [27]</w:t>
            </w:r>
          </w:p>
        </w:tc>
        <w:tc>
          <w:tcPr>
            <w:tcW w:w="1965" w:type="dxa"/>
          </w:tcPr>
          <w:p w14:paraId="79DDCB01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Proposed way to overcome the limitation (</w:t>
            </w:r>
            <w:proofErr w:type="spellStart"/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TableProcessor</w:t>
            </w:r>
            <w:proofErr w:type="spellEnd"/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50" w:type="dxa"/>
          </w:tcPr>
          <w:p w14:paraId="4CC1D2E8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6386">
              <w:rPr>
                <w:rFonts w:ascii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46386" w:rsidRPr="00D46386" w14:paraId="4E6E5D05" w14:textId="77777777" w:rsidTr="00D46386">
        <w:tc>
          <w:tcPr>
            <w:tcW w:w="1493" w:type="dxa"/>
          </w:tcPr>
          <w:p w14:paraId="1A3FD9F3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The lack of contextual information</w:t>
            </w:r>
          </w:p>
        </w:tc>
        <w:tc>
          <w:tcPr>
            <w:tcW w:w="1964" w:type="dxa"/>
          </w:tcPr>
          <w:p w14:paraId="1E98FCF2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The Semantic table interpretation (STI) engine calculates a measure of similarity for all embedded concepts and contexts.</w:t>
            </w:r>
          </w:p>
        </w:tc>
        <w:tc>
          <w:tcPr>
            <w:tcW w:w="1965" w:type="dxa"/>
          </w:tcPr>
          <w:p w14:paraId="6E2C9632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tool [29] uses data from Wikipedia, which looks at which topic the term is most likely to refer to.</w:t>
            </w:r>
          </w:p>
        </w:tc>
        <w:tc>
          <w:tcPr>
            <w:tcW w:w="2450" w:type="dxa"/>
          </w:tcPr>
          <w:p w14:paraId="3F8AE48A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enables automatic Wikipedia searches to uncover the shared concept: 'Rivers flowing into Balkhash.</w:t>
            </w:r>
          </w:p>
        </w:tc>
      </w:tr>
      <w:tr w:rsidR="00D46386" w:rsidRPr="00D46386" w14:paraId="252E091B" w14:textId="77777777" w:rsidTr="00D46386">
        <w:tc>
          <w:tcPr>
            <w:tcW w:w="1493" w:type="dxa"/>
          </w:tcPr>
          <w:p w14:paraId="7AF36F51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Dependency on table metadata</w:t>
            </w:r>
          </w:p>
        </w:tc>
        <w:tc>
          <w:tcPr>
            <w:tcW w:w="1964" w:type="dxa"/>
          </w:tcPr>
          <w:p w14:paraId="680262D8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STI uses a similarity metric, such as cosine similarity or dot product.</w:t>
            </w:r>
          </w:p>
        </w:tc>
        <w:tc>
          <w:tcPr>
            <w:tcW w:w="1965" w:type="dxa"/>
          </w:tcPr>
          <w:p w14:paraId="3E96F261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tool uses 10 heuristics to avoid relying on metadata</w:t>
            </w:r>
          </w:p>
        </w:tc>
        <w:tc>
          <w:tcPr>
            <w:tcW w:w="2450" w:type="dxa"/>
          </w:tcPr>
          <w:p w14:paraId="3FDD3B05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An example of one of the heuristics is the rule for automatic recognition of coordinates.</w:t>
            </w:r>
          </w:p>
        </w:tc>
      </w:tr>
      <w:tr w:rsidR="00D46386" w:rsidRPr="00D46386" w14:paraId="423153DE" w14:textId="77777777" w:rsidTr="00D46386">
        <w:tc>
          <w:tcPr>
            <w:tcW w:w="1493" w:type="dxa"/>
          </w:tcPr>
          <w:p w14:paraId="722025ED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Dependence on specific knowledge graphs</w:t>
            </w:r>
          </w:p>
        </w:tc>
        <w:tc>
          <w:tcPr>
            <w:tcW w:w="1964" w:type="dxa"/>
          </w:tcPr>
          <w:p w14:paraId="565BDC1F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TableMiner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+ utilizes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OpenIE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for domain-independent structured information retrieval.</w:t>
            </w:r>
          </w:p>
        </w:tc>
        <w:tc>
          <w:tcPr>
            <w:tcW w:w="1965" w:type="dxa"/>
          </w:tcPr>
          <w:p w14:paraId="1D18882D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tool extracts tables across domains using the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CleanArchitecture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2450" w:type="dxa"/>
          </w:tcPr>
          <w:p w14:paraId="512CE3F0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tool searches the entire Wikipedia and can retrieve data from any subject area. </w:t>
            </w:r>
          </w:p>
        </w:tc>
      </w:tr>
      <w:tr w:rsidR="00D46386" w:rsidRPr="00D46386" w14:paraId="2F067C98" w14:textId="77777777" w:rsidTr="00D46386">
        <w:tc>
          <w:tcPr>
            <w:tcW w:w="1493" w:type="dxa"/>
          </w:tcPr>
          <w:p w14:paraId="796B31C7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Identification of a limited set of annotations</w:t>
            </w:r>
          </w:p>
        </w:tc>
        <w:tc>
          <w:tcPr>
            <w:tcW w:w="1964" w:type="dxa"/>
          </w:tcPr>
          <w:p w14:paraId="2061A019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STILTool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assesses annotations from various approaches on T2Dv2 and Limaye200 Gold Standard tables.</w:t>
            </w:r>
          </w:p>
        </w:tc>
        <w:tc>
          <w:tcPr>
            <w:tcW w:w="1965" w:type="dxa"/>
          </w:tcPr>
          <w:p w14:paraId="5C479BD9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TableProcessor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[25-30] tool, having received a new concept, adds it to the system, and models the semantic interdependence.</w:t>
            </w:r>
          </w:p>
        </w:tc>
        <w:tc>
          <w:tcPr>
            <w:tcW w:w="2450" w:type="dxa"/>
          </w:tcPr>
          <w:p w14:paraId="4232B996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New names, previously unknown to the system, are placed in a special buffer zone and offered to the user for manual confirmation or rejection.</w:t>
            </w:r>
          </w:p>
        </w:tc>
      </w:tr>
      <w:tr w:rsidR="00D46386" w:rsidRPr="00D46386" w14:paraId="28F1D774" w14:textId="77777777" w:rsidTr="00D46386">
        <w:tc>
          <w:tcPr>
            <w:tcW w:w="1493" w:type="dxa"/>
          </w:tcPr>
          <w:p w14:paraId="26E6A98A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>Lack of implementation</w:t>
            </w:r>
          </w:p>
        </w:tc>
        <w:tc>
          <w:tcPr>
            <w:tcW w:w="1964" w:type="dxa"/>
          </w:tcPr>
          <w:p w14:paraId="7A02D032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MantisTable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implements two modern approaches (T2Dv2 and Limaye200) and compares with a baseline method that uses different annotation steps for concepts, data types, and predicates. </w:t>
            </w:r>
          </w:p>
        </w:tc>
        <w:tc>
          <w:tcPr>
            <w:tcW w:w="1965" w:type="dxa"/>
          </w:tcPr>
          <w:p w14:paraId="58FA0FCA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The QURMA system's Fluent Design interface allows users to specify a document's URL for table retrieval. </w:t>
            </w:r>
          </w:p>
          <w:p w14:paraId="0C3C9B5E" w14:textId="77777777" w:rsidR="00D46386" w:rsidRPr="00D46386" w:rsidRDefault="00D46386" w:rsidP="00D46386">
            <w:pPr>
              <w:pStyle w:val="MDPI42tablebody"/>
              <w:spacing w:line="228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</w:rPr>
              <w:t>TableProcessor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</w:rPr>
              <w:t xml:space="preserve"> has a ready-made script on GitHub where any user can process their table.</w:t>
            </w:r>
          </w:p>
        </w:tc>
        <w:tc>
          <w:tcPr>
            <w:tcW w:w="2450" w:type="dxa"/>
          </w:tcPr>
          <w:p w14:paraId="0C21169B" w14:textId="77777777" w:rsidR="00D46386" w:rsidRPr="00D46386" w:rsidRDefault="00D46386" w:rsidP="00D46386">
            <w:pPr>
              <w:pStyle w:val="MDPI42tablebody"/>
              <w:numPr>
                <w:ilvl w:val="0"/>
                <w:numId w:val="1"/>
              </w:numPr>
              <w:spacing w:line="228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sv-SE"/>
              </w:rPr>
            </w:pPr>
            <w:proofErr w:type="spellStart"/>
            <w:r w:rsidRPr="00D46386">
              <w:rPr>
                <w:rFonts w:ascii="Times New Roman" w:hAnsi="Times New Roman"/>
                <w:sz w:val="24"/>
                <w:szCs w:val="24"/>
                <w:lang w:val="sv-SE"/>
              </w:rPr>
              <w:t>Qurma</w:t>
            </w:r>
            <w:proofErr w:type="spellEnd"/>
            <w:r w:rsidRPr="00D46386">
              <w:rPr>
                <w:rFonts w:ascii="Times New Roman" w:hAnsi="Times New Roman"/>
                <w:sz w:val="24"/>
                <w:szCs w:val="24"/>
                <w:lang w:val="sv-SE"/>
              </w:rPr>
              <w:t>: https://github.com/Kyrmasch/Sorge</w:t>
            </w:r>
          </w:p>
          <w:p w14:paraId="6C6CE749" w14:textId="77777777" w:rsidR="00D46386" w:rsidRPr="00D46386" w:rsidRDefault="00D46386" w:rsidP="00D46386">
            <w:pPr>
              <w:pStyle w:val="MDPI42tablebody"/>
              <w:numPr>
                <w:ilvl w:val="0"/>
                <w:numId w:val="1"/>
              </w:numPr>
              <w:spacing w:line="228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46386">
              <w:rPr>
                <w:rFonts w:ascii="Times New Roman" w:hAnsi="Times New Roman"/>
                <w:sz w:val="24"/>
                <w:szCs w:val="24"/>
              </w:rPr>
              <w:t xml:space="preserve">Table Processor: https://github.com/Igriva/TableProcessor </w:t>
            </w:r>
          </w:p>
        </w:tc>
      </w:tr>
    </w:tbl>
    <w:p w14:paraId="60E34140" w14:textId="77777777" w:rsidR="00D46386" w:rsidRPr="00C83975" w:rsidRDefault="00D46386" w:rsidP="00D46386">
      <w:pPr>
        <w:pStyle w:val="MDPI31text"/>
        <w:ind w:left="0" w:firstLine="0"/>
      </w:pPr>
    </w:p>
    <w:p w14:paraId="027E60DD" w14:textId="77777777" w:rsidR="00D46386" w:rsidRDefault="00D46386" w:rsidP="00D46386"/>
    <w:sectPr w:rsidR="00D4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87CAB"/>
    <w:multiLevelType w:val="hybridMultilevel"/>
    <w:tmpl w:val="E43C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2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86"/>
    <w:rsid w:val="00D4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80070"/>
  <w15:chartTrackingRefBased/>
  <w15:docId w15:val="{3A18DC55-E8DD-F94E-B9C6-7D89AE7F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386"/>
    <w:pPr>
      <w:spacing w:line="260" w:lineRule="atLeast"/>
      <w:jc w:val="both"/>
    </w:pPr>
    <w:rPr>
      <w:rFonts w:ascii="Palatino Linotype" w:eastAsiaTheme="minorEastAsia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D46386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D46386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D4638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table" w:styleId="-2">
    <w:name w:val="List Table 2"/>
    <w:basedOn w:val="a1"/>
    <w:uiPriority w:val="47"/>
    <w:rsid w:val="00D46386"/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Байғараева Жанель Ермашқызы</dc:creator>
  <cp:keywords/>
  <dc:description/>
  <cp:lastModifiedBy>Байғараева Жанель Ермашқызы</cp:lastModifiedBy>
  <cp:revision>1</cp:revision>
  <dcterms:created xsi:type="dcterms:W3CDTF">2023-10-21T12:47:00Z</dcterms:created>
  <dcterms:modified xsi:type="dcterms:W3CDTF">2023-10-21T12:50:00Z</dcterms:modified>
</cp:coreProperties>
</file>