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E420E" w14:textId="2602CF47" w:rsidR="005E0048" w:rsidRDefault="005E0048" w:rsidP="005E0048">
      <w:pPr>
        <w:pStyle w:val="MDPI41tablecaption"/>
        <w:spacing w:before="0" w:after="0"/>
        <w:ind w:left="0"/>
        <w:rPr>
          <w:rFonts w:ascii="Times New Roman" w:hAnsi="Times New Roman" w:cs="Times New Roman"/>
          <w:b/>
          <w:sz w:val="24"/>
          <w:szCs w:val="24"/>
        </w:rPr>
      </w:pPr>
      <w:r w:rsidRPr="00A91BCF">
        <w:rPr>
          <w:rFonts w:ascii="Times New Roman" w:hAnsi="Times New Roman" w:cs="Times New Roman"/>
          <w:b/>
          <w:sz w:val="24"/>
          <w:szCs w:val="24"/>
        </w:rPr>
        <w:t xml:space="preserve">Table </w:t>
      </w:r>
      <w:r w:rsidR="004D1824">
        <w:rPr>
          <w:rFonts w:ascii="Times New Roman" w:hAnsi="Times New Roman" w:cs="Times New Roman"/>
          <w:b/>
          <w:sz w:val="24"/>
          <w:szCs w:val="24"/>
        </w:rPr>
        <w:t>A2</w:t>
      </w:r>
      <w:r>
        <w:rPr>
          <w:rFonts w:ascii="Times New Roman" w:hAnsi="Times New Roman" w:cs="Times New Roman"/>
          <w:b/>
          <w:sz w:val="24"/>
          <w:szCs w:val="24"/>
        </w:rPr>
        <w:t>:</w:t>
      </w:r>
    </w:p>
    <w:p w14:paraId="67E8FBD5" w14:textId="77777777" w:rsidR="005E0048" w:rsidRPr="00A91BCF" w:rsidRDefault="005E0048" w:rsidP="005E0048">
      <w:pPr>
        <w:pStyle w:val="MDPI41tablecaption"/>
        <w:spacing w:before="0" w:after="0"/>
        <w:ind w:left="0"/>
        <w:rPr>
          <w:rFonts w:ascii="Times New Roman" w:hAnsi="Times New Roman" w:cs="Times New Roman"/>
          <w:sz w:val="24"/>
          <w:szCs w:val="24"/>
        </w:rPr>
      </w:pPr>
      <w:r w:rsidRPr="00A91BCF">
        <w:rPr>
          <w:rFonts w:ascii="Times New Roman" w:hAnsi="Times New Roman" w:cs="Times New Roman"/>
          <w:sz w:val="24"/>
          <w:szCs w:val="24"/>
        </w:rPr>
        <w:t xml:space="preserve"> Heterogeneous data sources</w:t>
      </w:r>
    </w:p>
    <w:tbl>
      <w:tblPr>
        <w:tblStyle w:val="PlainTable2"/>
        <w:tblW w:w="10206" w:type="dxa"/>
        <w:tblLayout w:type="fixed"/>
        <w:tblLook w:val="0400" w:firstRow="0" w:lastRow="0" w:firstColumn="0" w:lastColumn="0" w:noHBand="0" w:noVBand="1"/>
      </w:tblPr>
      <w:tblGrid>
        <w:gridCol w:w="1696"/>
        <w:gridCol w:w="3260"/>
        <w:gridCol w:w="5250"/>
      </w:tblGrid>
      <w:tr w:rsidR="005E0048" w:rsidRPr="00A91BCF" w14:paraId="1FF8819F" w14:textId="77777777" w:rsidTr="005B57E3">
        <w:trPr>
          <w:cnfStyle w:val="000000100000" w:firstRow="0" w:lastRow="0" w:firstColumn="0" w:lastColumn="0" w:oddVBand="0" w:evenVBand="0" w:oddHBand="1" w:evenHBand="0" w:firstRowFirstColumn="0" w:firstRowLastColumn="0" w:lastRowFirstColumn="0" w:lastRowLastColumn="0"/>
        </w:trPr>
        <w:tc>
          <w:tcPr>
            <w:tcW w:w="1696" w:type="dxa"/>
          </w:tcPr>
          <w:p w14:paraId="70121808" w14:textId="77777777" w:rsidR="005E0048" w:rsidRPr="00A91BCF" w:rsidRDefault="005E0048" w:rsidP="005B57E3">
            <w:pPr>
              <w:pStyle w:val="MDPI42tablebody"/>
              <w:jc w:val="left"/>
              <w:rPr>
                <w:rFonts w:ascii="Times New Roman" w:hAnsi="Times New Roman"/>
                <w:b/>
                <w:bCs/>
                <w:sz w:val="24"/>
                <w:szCs w:val="24"/>
              </w:rPr>
            </w:pPr>
            <w:r w:rsidRPr="00A91BCF">
              <w:rPr>
                <w:rFonts w:ascii="Times New Roman" w:hAnsi="Times New Roman"/>
                <w:b/>
                <w:bCs/>
                <w:sz w:val="24"/>
                <w:szCs w:val="24"/>
              </w:rPr>
              <w:t>Heterogeneous data sources</w:t>
            </w:r>
          </w:p>
        </w:tc>
        <w:tc>
          <w:tcPr>
            <w:tcW w:w="3260" w:type="dxa"/>
          </w:tcPr>
          <w:p w14:paraId="0130DC34" w14:textId="77777777" w:rsidR="005E0048" w:rsidRPr="00A91BCF" w:rsidRDefault="005E0048" w:rsidP="005B57E3">
            <w:pPr>
              <w:pStyle w:val="MDPI42tablebody"/>
              <w:jc w:val="left"/>
              <w:rPr>
                <w:rFonts w:ascii="Times New Roman" w:hAnsi="Times New Roman"/>
                <w:b/>
                <w:bCs/>
                <w:sz w:val="24"/>
                <w:szCs w:val="24"/>
              </w:rPr>
            </w:pPr>
            <w:r w:rsidRPr="00A91BCF">
              <w:rPr>
                <w:rFonts w:ascii="Times New Roman" w:hAnsi="Times New Roman"/>
                <w:b/>
                <w:bCs/>
                <w:sz w:val="24"/>
                <w:szCs w:val="24"/>
              </w:rPr>
              <w:t>Source</w:t>
            </w:r>
          </w:p>
        </w:tc>
        <w:tc>
          <w:tcPr>
            <w:tcW w:w="5250" w:type="dxa"/>
          </w:tcPr>
          <w:p w14:paraId="4A7C5C94" w14:textId="77777777" w:rsidR="005E0048" w:rsidRPr="00A91BCF" w:rsidRDefault="005E0048" w:rsidP="005B57E3">
            <w:pPr>
              <w:pStyle w:val="MDPI42tablebody"/>
              <w:jc w:val="left"/>
              <w:rPr>
                <w:rFonts w:ascii="Times New Roman" w:hAnsi="Times New Roman"/>
                <w:b/>
                <w:bCs/>
                <w:sz w:val="24"/>
                <w:szCs w:val="24"/>
              </w:rPr>
            </w:pPr>
            <w:r w:rsidRPr="00A91BCF">
              <w:rPr>
                <w:rFonts w:ascii="Times New Roman" w:hAnsi="Times New Roman"/>
                <w:b/>
                <w:bCs/>
                <w:sz w:val="24"/>
                <w:szCs w:val="24"/>
              </w:rPr>
              <w:t>Content</w:t>
            </w:r>
          </w:p>
        </w:tc>
      </w:tr>
      <w:tr w:rsidR="005E0048" w:rsidRPr="00A91BCF" w14:paraId="19945235" w14:textId="77777777" w:rsidTr="005B57E3">
        <w:tc>
          <w:tcPr>
            <w:tcW w:w="1696" w:type="dxa"/>
          </w:tcPr>
          <w:p w14:paraId="1B916643"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I Water Regulations</w:t>
            </w:r>
          </w:p>
        </w:tc>
        <w:tc>
          <w:tcPr>
            <w:tcW w:w="3260" w:type="dxa"/>
          </w:tcPr>
          <w:p w14:paraId="340CE657"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Order on Approval of the Sanitary Rules "Sanitary and Epidemiological Requirements for Water Sources, Places of Water Intake for Domestic and Drinking Purposes, Domestic and Drinking Water Supply and Places of Cultural and Domestic Water Use and Safety of Water Bodies" [8]</w:t>
            </w:r>
          </w:p>
        </w:tc>
        <w:tc>
          <w:tcPr>
            <w:tcW w:w="5250" w:type="dxa"/>
          </w:tcPr>
          <w:p w14:paraId="6DED74D0"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1. General </w:t>
            </w:r>
            <w:proofErr w:type="gramStart"/>
            <w:r w:rsidRPr="00A91BCF">
              <w:rPr>
                <w:rFonts w:ascii="Times New Roman" w:hAnsi="Times New Roman"/>
                <w:sz w:val="24"/>
                <w:szCs w:val="24"/>
              </w:rPr>
              <w:t>Provisions;</w:t>
            </w:r>
            <w:proofErr w:type="gramEnd"/>
          </w:p>
          <w:p w14:paraId="49A74E4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2. Sanitary and epidemiological requirements for water </w:t>
            </w:r>
            <w:proofErr w:type="gramStart"/>
            <w:r w:rsidRPr="00A91BCF">
              <w:rPr>
                <w:rFonts w:ascii="Times New Roman" w:hAnsi="Times New Roman"/>
                <w:sz w:val="24"/>
                <w:szCs w:val="24"/>
              </w:rPr>
              <w:t>sources;</w:t>
            </w:r>
            <w:proofErr w:type="gramEnd"/>
          </w:p>
          <w:p w14:paraId="3272668A"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4. Indicators of drinking water </w:t>
            </w:r>
            <w:proofErr w:type="gramStart"/>
            <w:r w:rsidRPr="00A91BCF">
              <w:rPr>
                <w:rFonts w:ascii="Times New Roman" w:hAnsi="Times New Roman"/>
                <w:sz w:val="24"/>
                <w:szCs w:val="24"/>
              </w:rPr>
              <w:t>quality;</w:t>
            </w:r>
            <w:proofErr w:type="gramEnd"/>
          </w:p>
          <w:p w14:paraId="69D47BD2"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5. Microbiological and parasitological indicators of drinking water </w:t>
            </w:r>
            <w:proofErr w:type="gramStart"/>
            <w:r w:rsidRPr="00A91BCF">
              <w:rPr>
                <w:rFonts w:ascii="Times New Roman" w:hAnsi="Times New Roman"/>
                <w:sz w:val="24"/>
                <w:szCs w:val="24"/>
              </w:rPr>
              <w:t>quality;</w:t>
            </w:r>
            <w:proofErr w:type="gramEnd"/>
          </w:p>
          <w:p w14:paraId="179F104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6. Hygienic standards for the content of harmful substances in drinking </w:t>
            </w:r>
            <w:proofErr w:type="gramStart"/>
            <w:r w:rsidRPr="00A91BCF">
              <w:rPr>
                <w:rFonts w:ascii="Times New Roman" w:hAnsi="Times New Roman"/>
                <w:sz w:val="24"/>
                <w:szCs w:val="24"/>
              </w:rPr>
              <w:t>water;</w:t>
            </w:r>
            <w:proofErr w:type="gramEnd"/>
          </w:p>
          <w:p w14:paraId="4C3FC689"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7. Quantity, frequency of water </w:t>
            </w:r>
            <w:proofErr w:type="gramStart"/>
            <w:r w:rsidRPr="00A91BCF">
              <w:rPr>
                <w:rFonts w:ascii="Times New Roman" w:hAnsi="Times New Roman"/>
                <w:sz w:val="24"/>
                <w:szCs w:val="24"/>
              </w:rPr>
              <w:t>sampling;</w:t>
            </w:r>
            <w:proofErr w:type="gramEnd"/>
          </w:p>
          <w:p w14:paraId="45B05AB3"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8. List of indicators.</w:t>
            </w:r>
          </w:p>
        </w:tc>
      </w:tr>
      <w:tr w:rsidR="005E0048" w:rsidRPr="00A91BCF" w14:paraId="68ABE220" w14:textId="77777777" w:rsidTr="005B57E3">
        <w:trPr>
          <w:cnfStyle w:val="000000100000" w:firstRow="0" w:lastRow="0" w:firstColumn="0" w:lastColumn="0" w:oddVBand="0" w:evenVBand="0" w:oddHBand="1" w:evenHBand="0" w:firstRowFirstColumn="0" w:firstRowLastColumn="0" w:lastRowFirstColumn="0" w:lastRowLastColumn="0"/>
        </w:trPr>
        <w:tc>
          <w:tcPr>
            <w:tcW w:w="1696" w:type="dxa"/>
            <w:vMerge w:val="restart"/>
          </w:tcPr>
          <w:p w14:paraId="6A22722D"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II Sensor Data</w:t>
            </w:r>
          </w:p>
        </w:tc>
        <w:tc>
          <w:tcPr>
            <w:tcW w:w="3260" w:type="dxa"/>
          </w:tcPr>
          <w:p w14:paraId="468307A8"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Daily hydrological bulletin of the Republic of Kazakhstan [5]</w:t>
            </w:r>
          </w:p>
        </w:tc>
        <w:tc>
          <w:tcPr>
            <w:tcW w:w="5250" w:type="dxa"/>
          </w:tcPr>
          <w:p w14:paraId="2BC993AC"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1. Location of hydrological </w:t>
            </w:r>
            <w:proofErr w:type="gramStart"/>
            <w:r w:rsidRPr="00A91BCF">
              <w:rPr>
                <w:rFonts w:ascii="Times New Roman" w:hAnsi="Times New Roman"/>
                <w:sz w:val="24"/>
                <w:szCs w:val="24"/>
              </w:rPr>
              <w:t>posts;</w:t>
            </w:r>
            <w:proofErr w:type="gramEnd"/>
          </w:p>
          <w:p w14:paraId="6F32E69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2. Water </w:t>
            </w:r>
            <w:proofErr w:type="gramStart"/>
            <w:r w:rsidRPr="00A91BCF">
              <w:rPr>
                <w:rFonts w:ascii="Times New Roman" w:hAnsi="Times New Roman"/>
                <w:sz w:val="24"/>
                <w:szCs w:val="24"/>
              </w:rPr>
              <w:t>level;</w:t>
            </w:r>
            <w:proofErr w:type="gramEnd"/>
          </w:p>
          <w:p w14:paraId="0EC4A558"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3. The state of the water </w:t>
            </w:r>
            <w:proofErr w:type="gramStart"/>
            <w:r w:rsidRPr="00A91BCF">
              <w:rPr>
                <w:rFonts w:ascii="Times New Roman" w:hAnsi="Times New Roman"/>
                <w:sz w:val="24"/>
                <w:szCs w:val="24"/>
              </w:rPr>
              <w:t>object;</w:t>
            </w:r>
            <w:proofErr w:type="gramEnd"/>
          </w:p>
          <w:p w14:paraId="2907D1E6"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4. Water </w:t>
            </w:r>
            <w:proofErr w:type="gramStart"/>
            <w:r w:rsidRPr="00A91BCF">
              <w:rPr>
                <w:rFonts w:ascii="Times New Roman" w:hAnsi="Times New Roman"/>
                <w:sz w:val="24"/>
                <w:szCs w:val="24"/>
              </w:rPr>
              <w:t>temperature;</w:t>
            </w:r>
            <w:proofErr w:type="gramEnd"/>
          </w:p>
          <w:p w14:paraId="2C0C2F7C"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5. Weather </w:t>
            </w:r>
            <w:proofErr w:type="gramStart"/>
            <w:r w:rsidRPr="00A91BCF">
              <w:rPr>
                <w:rFonts w:ascii="Times New Roman" w:hAnsi="Times New Roman"/>
                <w:sz w:val="24"/>
                <w:szCs w:val="24"/>
              </w:rPr>
              <w:t>conditions;</w:t>
            </w:r>
            <w:proofErr w:type="gramEnd"/>
          </w:p>
          <w:p w14:paraId="6A867419"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6. Water </w:t>
            </w:r>
            <w:proofErr w:type="gramStart"/>
            <w:r w:rsidRPr="00A91BCF">
              <w:rPr>
                <w:rFonts w:ascii="Times New Roman" w:hAnsi="Times New Roman"/>
                <w:sz w:val="24"/>
                <w:szCs w:val="24"/>
              </w:rPr>
              <w:t>consumption;</w:t>
            </w:r>
            <w:proofErr w:type="gramEnd"/>
          </w:p>
          <w:p w14:paraId="4320CAEF"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7. Thickness of ice and height of snow on </w:t>
            </w:r>
            <w:proofErr w:type="gramStart"/>
            <w:r w:rsidRPr="00A91BCF">
              <w:rPr>
                <w:rFonts w:ascii="Times New Roman" w:hAnsi="Times New Roman"/>
                <w:sz w:val="24"/>
                <w:szCs w:val="24"/>
              </w:rPr>
              <w:t>ice;</w:t>
            </w:r>
            <w:proofErr w:type="gramEnd"/>
          </w:p>
          <w:p w14:paraId="5C160339"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8. Ice phenomena at the site of the </w:t>
            </w:r>
            <w:proofErr w:type="gramStart"/>
            <w:r w:rsidRPr="00A91BCF">
              <w:rPr>
                <w:rFonts w:ascii="Times New Roman" w:hAnsi="Times New Roman"/>
                <w:sz w:val="24"/>
                <w:szCs w:val="24"/>
              </w:rPr>
              <w:t>post;</w:t>
            </w:r>
            <w:proofErr w:type="gramEnd"/>
          </w:p>
          <w:p w14:paraId="538677B9"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9. Information about floods and rain floods.</w:t>
            </w:r>
          </w:p>
        </w:tc>
      </w:tr>
      <w:tr w:rsidR="005E0048" w:rsidRPr="00A91BCF" w14:paraId="52AA5C11" w14:textId="77777777" w:rsidTr="005B57E3">
        <w:tc>
          <w:tcPr>
            <w:tcW w:w="1696" w:type="dxa"/>
            <w:vMerge/>
          </w:tcPr>
          <w:p w14:paraId="250ED160" w14:textId="77777777" w:rsidR="005E0048" w:rsidRPr="00A91BCF" w:rsidRDefault="005E0048" w:rsidP="005B57E3">
            <w:pPr>
              <w:pStyle w:val="MDPI42tablebody"/>
              <w:jc w:val="left"/>
              <w:rPr>
                <w:rFonts w:ascii="Times New Roman" w:hAnsi="Times New Roman"/>
                <w:sz w:val="24"/>
                <w:szCs w:val="24"/>
              </w:rPr>
            </w:pPr>
          </w:p>
        </w:tc>
        <w:tc>
          <w:tcPr>
            <w:tcW w:w="3260" w:type="dxa"/>
          </w:tcPr>
          <w:p w14:paraId="44830AFE"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Monthly State of the Environment Newsletter [6]</w:t>
            </w:r>
          </w:p>
        </w:tc>
        <w:tc>
          <w:tcPr>
            <w:tcW w:w="5250" w:type="dxa"/>
          </w:tcPr>
          <w:p w14:paraId="7249982C"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1. The main sources of air </w:t>
            </w:r>
            <w:proofErr w:type="gramStart"/>
            <w:r w:rsidRPr="00A91BCF">
              <w:rPr>
                <w:rFonts w:ascii="Times New Roman" w:hAnsi="Times New Roman"/>
                <w:sz w:val="24"/>
                <w:szCs w:val="24"/>
              </w:rPr>
              <w:t>pollution;</w:t>
            </w:r>
            <w:proofErr w:type="gramEnd"/>
          </w:p>
          <w:p w14:paraId="0C5FD16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2. The state of the quality of atmospheric </w:t>
            </w:r>
            <w:proofErr w:type="gramStart"/>
            <w:r w:rsidRPr="00A91BCF">
              <w:rPr>
                <w:rFonts w:ascii="Times New Roman" w:hAnsi="Times New Roman"/>
                <w:sz w:val="24"/>
                <w:szCs w:val="24"/>
              </w:rPr>
              <w:t>air;</w:t>
            </w:r>
            <w:proofErr w:type="gramEnd"/>
          </w:p>
          <w:p w14:paraId="52F0911D"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3.The chemical composition of atmospheric precipitation.</w:t>
            </w:r>
          </w:p>
          <w:p w14:paraId="71FBF0AE"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4. The state of the quality of surface </w:t>
            </w:r>
            <w:proofErr w:type="gramStart"/>
            <w:r w:rsidRPr="00A91BCF">
              <w:rPr>
                <w:rFonts w:ascii="Times New Roman" w:hAnsi="Times New Roman"/>
                <w:sz w:val="24"/>
                <w:szCs w:val="24"/>
              </w:rPr>
              <w:t>waters;</w:t>
            </w:r>
            <w:proofErr w:type="gramEnd"/>
          </w:p>
          <w:p w14:paraId="694D39AC"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5. Radiation environment.</w:t>
            </w:r>
          </w:p>
        </w:tc>
      </w:tr>
      <w:tr w:rsidR="005E0048" w:rsidRPr="00A91BCF" w14:paraId="04E30A5C" w14:textId="77777777" w:rsidTr="005B57E3">
        <w:trPr>
          <w:cnfStyle w:val="000000100000" w:firstRow="0" w:lastRow="0" w:firstColumn="0" w:lastColumn="0" w:oddVBand="0" w:evenVBand="0" w:oddHBand="1" w:evenHBand="0" w:firstRowFirstColumn="0" w:firstRowLastColumn="0" w:lastRowFirstColumn="0" w:lastRowLastColumn="0"/>
        </w:trPr>
        <w:tc>
          <w:tcPr>
            <w:tcW w:w="1696" w:type="dxa"/>
          </w:tcPr>
          <w:p w14:paraId="6C9AD72F"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III Water Objects</w:t>
            </w:r>
          </w:p>
        </w:tc>
        <w:tc>
          <w:tcPr>
            <w:tcW w:w="3260" w:type="dxa"/>
          </w:tcPr>
          <w:p w14:paraId="0B3E0C3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Information about IBB from Wikipedia [9]</w:t>
            </w:r>
          </w:p>
        </w:tc>
        <w:tc>
          <w:tcPr>
            <w:tcW w:w="5250" w:type="dxa"/>
          </w:tcPr>
          <w:p w14:paraId="6666F08B"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1. Physico-geographical </w:t>
            </w:r>
            <w:proofErr w:type="gramStart"/>
            <w:r w:rsidRPr="00A91BCF">
              <w:rPr>
                <w:rFonts w:ascii="Times New Roman" w:hAnsi="Times New Roman"/>
                <w:sz w:val="24"/>
                <w:szCs w:val="24"/>
              </w:rPr>
              <w:t>description;</w:t>
            </w:r>
            <w:proofErr w:type="gramEnd"/>
          </w:p>
          <w:p w14:paraId="1626F38B"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2. Soils and </w:t>
            </w:r>
            <w:proofErr w:type="gramStart"/>
            <w:r w:rsidRPr="00A91BCF">
              <w:rPr>
                <w:rFonts w:ascii="Times New Roman" w:hAnsi="Times New Roman"/>
                <w:sz w:val="24"/>
                <w:szCs w:val="24"/>
              </w:rPr>
              <w:t>vegetation;</w:t>
            </w:r>
            <w:proofErr w:type="gramEnd"/>
          </w:p>
          <w:p w14:paraId="6F59D650"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3. </w:t>
            </w:r>
            <w:proofErr w:type="gramStart"/>
            <w:r w:rsidRPr="00A91BCF">
              <w:rPr>
                <w:rFonts w:ascii="Times New Roman" w:hAnsi="Times New Roman"/>
                <w:sz w:val="24"/>
                <w:szCs w:val="24"/>
              </w:rPr>
              <w:t>Hydrography;</w:t>
            </w:r>
            <w:proofErr w:type="gramEnd"/>
          </w:p>
          <w:p w14:paraId="647FAB7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4. </w:t>
            </w:r>
            <w:proofErr w:type="gramStart"/>
            <w:r w:rsidRPr="00A91BCF">
              <w:rPr>
                <w:rFonts w:ascii="Times New Roman" w:hAnsi="Times New Roman"/>
                <w:sz w:val="24"/>
                <w:szCs w:val="24"/>
              </w:rPr>
              <w:t>Glaciers;</w:t>
            </w:r>
            <w:proofErr w:type="gramEnd"/>
          </w:p>
          <w:p w14:paraId="10E16CAA"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5. Hydropower </w:t>
            </w:r>
            <w:proofErr w:type="gramStart"/>
            <w:r w:rsidRPr="00A91BCF">
              <w:rPr>
                <w:rFonts w:ascii="Times New Roman" w:hAnsi="Times New Roman"/>
                <w:sz w:val="24"/>
                <w:szCs w:val="24"/>
              </w:rPr>
              <w:t>resources;</w:t>
            </w:r>
            <w:proofErr w:type="gramEnd"/>
          </w:p>
          <w:p w14:paraId="33128256"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6. Knowledge of river </w:t>
            </w:r>
            <w:proofErr w:type="gramStart"/>
            <w:r w:rsidRPr="00A91BCF">
              <w:rPr>
                <w:rFonts w:ascii="Times New Roman" w:hAnsi="Times New Roman"/>
                <w:sz w:val="24"/>
                <w:szCs w:val="24"/>
              </w:rPr>
              <w:t>flow;</w:t>
            </w:r>
            <w:proofErr w:type="gramEnd"/>
          </w:p>
          <w:p w14:paraId="681EE92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7. Economic activity.</w:t>
            </w:r>
          </w:p>
        </w:tc>
      </w:tr>
      <w:tr w:rsidR="005E0048" w:rsidRPr="00A91BCF" w14:paraId="1A783374" w14:textId="77777777" w:rsidTr="005B57E3">
        <w:tc>
          <w:tcPr>
            <w:tcW w:w="1696" w:type="dxa"/>
          </w:tcPr>
          <w:p w14:paraId="15111DB4"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IV Socio-economic Indicators</w:t>
            </w:r>
          </w:p>
        </w:tc>
        <w:tc>
          <w:tcPr>
            <w:tcW w:w="3260" w:type="dxa"/>
          </w:tcPr>
          <w:p w14:paraId="4CAD314C"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Bureau of National Statistics of the Republic of Kazakhstan [7]</w:t>
            </w:r>
          </w:p>
        </w:tc>
        <w:tc>
          <w:tcPr>
            <w:tcW w:w="5250" w:type="dxa"/>
          </w:tcPr>
          <w:p w14:paraId="2B48FF36"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1. </w:t>
            </w:r>
            <w:proofErr w:type="gramStart"/>
            <w:r w:rsidRPr="00A91BCF">
              <w:rPr>
                <w:rFonts w:ascii="Times New Roman" w:hAnsi="Times New Roman"/>
                <w:sz w:val="24"/>
                <w:szCs w:val="24"/>
              </w:rPr>
              <w:t>Population;</w:t>
            </w:r>
            <w:proofErr w:type="gramEnd"/>
          </w:p>
          <w:p w14:paraId="2A7382DA"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2. Birth/mortality of the </w:t>
            </w:r>
            <w:proofErr w:type="gramStart"/>
            <w:r w:rsidRPr="00A91BCF">
              <w:rPr>
                <w:rFonts w:ascii="Times New Roman" w:hAnsi="Times New Roman"/>
                <w:sz w:val="24"/>
                <w:szCs w:val="24"/>
              </w:rPr>
              <w:t>population;</w:t>
            </w:r>
            <w:proofErr w:type="gramEnd"/>
          </w:p>
          <w:p w14:paraId="2C6F9C92"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3. Diseases of the circulatory system associated with iodine </w:t>
            </w:r>
            <w:proofErr w:type="gramStart"/>
            <w:r w:rsidRPr="00A91BCF">
              <w:rPr>
                <w:rFonts w:ascii="Times New Roman" w:hAnsi="Times New Roman"/>
                <w:sz w:val="24"/>
                <w:szCs w:val="24"/>
              </w:rPr>
              <w:t>deficiency;</w:t>
            </w:r>
            <w:proofErr w:type="gramEnd"/>
          </w:p>
          <w:p w14:paraId="50D6496E"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4. Malignant </w:t>
            </w:r>
            <w:proofErr w:type="gramStart"/>
            <w:r w:rsidRPr="00A91BCF">
              <w:rPr>
                <w:rFonts w:ascii="Times New Roman" w:hAnsi="Times New Roman"/>
                <w:sz w:val="24"/>
                <w:szCs w:val="24"/>
              </w:rPr>
              <w:t>neoplasms;</w:t>
            </w:r>
            <w:proofErr w:type="gramEnd"/>
          </w:p>
          <w:p w14:paraId="47CBEA3C"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5. Acute infections of the upper respiratory </w:t>
            </w:r>
            <w:proofErr w:type="gramStart"/>
            <w:r w:rsidRPr="00A91BCF">
              <w:rPr>
                <w:rFonts w:ascii="Times New Roman" w:hAnsi="Times New Roman"/>
                <w:sz w:val="24"/>
                <w:szCs w:val="24"/>
              </w:rPr>
              <w:t>tract;</w:t>
            </w:r>
            <w:proofErr w:type="gramEnd"/>
          </w:p>
          <w:p w14:paraId="74E5E180"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 xml:space="preserve">6. Life </w:t>
            </w:r>
            <w:proofErr w:type="gramStart"/>
            <w:r w:rsidRPr="00A91BCF">
              <w:rPr>
                <w:rFonts w:ascii="Times New Roman" w:hAnsi="Times New Roman"/>
                <w:sz w:val="24"/>
                <w:szCs w:val="24"/>
              </w:rPr>
              <w:t>expectancy;</w:t>
            </w:r>
            <w:proofErr w:type="gramEnd"/>
          </w:p>
          <w:p w14:paraId="3208E64F" w14:textId="77777777" w:rsidR="005E0048" w:rsidRPr="00A91BCF" w:rsidRDefault="005E0048" w:rsidP="005B57E3">
            <w:pPr>
              <w:pStyle w:val="MDPI42tablebody"/>
              <w:jc w:val="left"/>
              <w:rPr>
                <w:rFonts w:ascii="Times New Roman" w:hAnsi="Times New Roman"/>
                <w:sz w:val="24"/>
                <w:szCs w:val="24"/>
              </w:rPr>
            </w:pPr>
            <w:r w:rsidRPr="00A91BCF">
              <w:rPr>
                <w:rFonts w:ascii="Times New Roman" w:hAnsi="Times New Roman"/>
                <w:sz w:val="24"/>
                <w:szCs w:val="24"/>
              </w:rPr>
              <w:t>7. Types and activities of industrial companies.</w:t>
            </w:r>
          </w:p>
        </w:tc>
      </w:tr>
    </w:tbl>
    <w:p w14:paraId="13995191" w14:textId="77777777" w:rsidR="005E0048" w:rsidRDefault="005E0048" w:rsidP="005E0048">
      <w:pPr>
        <w:pStyle w:val="MDPI41tablecaption"/>
        <w:ind w:left="0"/>
      </w:pPr>
    </w:p>
    <w:sectPr w:rsidR="005E0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48"/>
    <w:rsid w:val="004D1824"/>
    <w:rsid w:val="005E004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BB6E"/>
  <w15:chartTrackingRefBased/>
  <w15:docId w15:val="{C9803CE6-82EB-6F41-B8B8-F59A62CB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048"/>
    <w:pPr>
      <w:spacing w:line="260" w:lineRule="atLeast"/>
      <w:jc w:val="both"/>
    </w:pPr>
    <w:rPr>
      <w:rFonts w:ascii="Palatino Linotype" w:eastAsiaTheme="minorEastAsia" w:hAnsi="Palatino Linotype" w:cs="Times New Roman"/>
      <w:noProof/>
      <w:color w:val="000000"/>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41tablecaption">
    <w:name w:val="MDPI_4.1_table_caption"/>
    <w:qFormat/>
    <w:rsid w:val="005E0048"/>
    <w:pPr>
      <w:adjustRightInd w:val="0"/>
      <w:snapToGrid w:val="0"/>
      <w:spacing w:before="240" w:after="120" w:line="228" w:lineRule="auto"/>
      <w:ind w:left="2608"/>
      <w:jc w:val="both"/>
    </w:pPr>
    <w:rPr>
      <w:rFonts w:ascii="Palatino Linotype" w:eastAsia="Times New Roman" w:hAnsi="Palatino Linotype"/>
      <w:color w:val="000000"/>
      <w:kern w:val="0"/>
      <w:sz w:val="18"/>
      <w:szCs w:val="22"/>
      <w:lang w:val="en-US" w:eastAsia="de-DE" w:bidi="en-US"/>
      <w14:ligatures w14:val="none"/>
    </w:rPr>
  </w:style>
  <w:style w:type="paragraph" w:customStyle="1" w:styleId="MDPI42tablebody">
    <w:name w:val="MDPI_4.2_table_body"/>
    <w:qFormat/>
    <w:rsid w:val="005E0048"/>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table" w:styleId="PlainTable2">
    <w:name w:val="Plain Table 2"/>
    <w:basedOn w:val="TableNormal"/>
    <w:uiPriority w:val="42"/>
    <w:rsid w:val="005E0048"/>
    <w:rPr>
      <w:rFonts w:ascii="Calibri" w:eastAsia="SimSun" w:hAnsi="Calibri" w:cs="Times New Roman"/>
      <w:kern w:val="0"/>
      <w:sz w:val="20"/>
      <w:szCs w:val="20"/>
      <w:lang w:val="en-US"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Байғараева Жанель Ермашқызы</dc:creator>
  <cp:keywords/>
  <dc:description/>
  <cp:lastModifiedBy>Assel G. Ospan</cp:lastModifiedBy>
  <cp:revision>2</cp:revision>
  <dcterms:created xsi:type="dcterms:W3CDTF">2023-10-21T12:55:00Z</dcterms:created>
  <dcterms:modified xsi:type="dcterms:W3CDTF">2023-10-26T02:52:00Z</dcterms:modified>
</cp:coreProperties>
</file>