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018A" w14:textId="76312BE8" w:rsidR="00CA2C38" w:rsidRDefault="00CA2C38" w:rsidP="00CA2C38">
      <w:pPr>
        <w:pStyle w:val="MDPI41tablecaption"/>
        <w:ind w:left="0"/>
        <w:rPr>
          <w:rFonts w:ascii="Times New Roman" w:hAnsi="Times New Roman" w:cs="Times New Roman"/>
          <w:b/>
          <w:sz w:val="24"/>
          <w:szCs w:val="24"/>
        </w:rPr>
      </w:pPr>
      <w:r w:rsidRPr="00A91BCF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A28B4">
        <w:rPr>
          <w:rFonts w:ascii="Times New Roman" w:hAnsi="Times New Roman" w:cs="Times New Roman"/>
          <w:b/>
          <w:sz w:val="24"/>
          <w:szCs w:val="24"/>
        </w:rPr>
        <w:t>A4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1A8D6CF" w14:textId="77777777" w:rsidR="00CA2C38" w:rsidRPr="00A91BCF" w:rsidRDefault="00CA2C38" w:rsidP="00CA2C38">
      <w:pPr>
        <w:pStyle w:val="MDPI41tablecaption"/>
        <w:ind w:left="0"/>
        <w:rPr>
          <w:rFonts w:ascii="Times New Roman" w:hAnsi="Times New Roman" w:cs="Times New Roman"/>
          <w:sz w:val="24"/>
          <w:szCs w:val="24"/>
        </w:rPr>
      </w:pPr>
      <w:r w:rsidRPr="00A91BCF">
        <w:rPr>
          <w:rFonts w:ascii="Times New Roman" w:hAnsi="Times New Roman" w:cs="Times New Roman"/>
          <w:sz w:val="24"/>
          <w:szCs w:val="24"/>
        </w:rPr>
        <w:t>The results of the knowledge transfer process and inference</w:t>
      </w:r>
    </w:p>
    <w:tbl>
      <w:tblPr>
        <w:tblStyle w:val="PlainTable2"/>
        <w:tblW w:w="7372" w:type="dxa"/>
        <w:tblLayout w:type="fixed"/>
        <w:tblLook w:val="0400" w:firstRow="0" w:lastRow="0" w:firstColumn="0" w:lastColumn="0" w:noHBand="0" w:noVBand="1"/>
      </w:tblPr>
      <w:tblGrid>
        <w:gridCol w:w="448"/>
        <w:gridCol w:w="6073"/>
        <w:gridCol w:w="851"/>
      </w:tblGrid>
      <w:tr w:rsidR="00CA2C38" w:rsidRPr="00A91BCF" w14:paraId="5E386C51" w14:textId="77777777" w:rsidTr="005B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448" w:type="dxa"/>
          </w:tcPr>
          <w:p w14:paraId="2545AE93" w14:textId="77777777" w:rsidR="00CA2C38" w:rsidRPr="00A91BCF" w:rsidRDefault="00CA2C38" w:rsidP="005B57E3">
            <w:pPr>
              <w:spacing w:line="228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A91BCF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3" w:type="dxa"/>
          </w:tcPr>
          <w:p w14:paraId="7D46FC0A" w14:textId="77777777" w:rsidR="00CA2C38" w:rsidRPr="00A91BCF" w:rsidRDefault="00CA2C38" w:rsidP="005B57E3">
            <w:pPr>
              <w:spacing w:line="22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91BCF">
              <w:rPr>
                <w:rFonts w:ascii="Times New Roman" w:hAnsi="Times New Roman"/>
                <w:b/>
                <w:sz w:val="24"/>
                <w:szCs w:val="24"/>
              </w:rPr>
              <w:t>Name of process</w:t>
            </w:r>
          </w:p>
        </w:tc>
        <w:tc>
          <w:tcPr>
            <w:tcW w:w="851" w:type="dxa"/>
          </w:tcPr>
          <w:p w14:paraId="27400624" w14:textId="77777777" w:rsidR="00CA2C38" w:rsidRPr="00A91BCF" w:rsidRDefault="00CA2C38" w:rsidP="005B57E3">
            <w:pPr>
              <w:spacing w:line="22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91BCF">
              <w:rPr>
                <w:rFonts w:ascii="Times New Roman" w:hAnsi="Times New Roman"/>
                <w:b/>
                <w:sz w:val="24"/>
                <w:szCs w:val="24"/>
              </w:rPr>
              <w:t>Values</w:t>
            </w:r>
          </w:p>
        </w:tc>
      </w:tr>
      <w:tr w:rsidR="00CA2C38" w:rsidRPr="00A91BCF" w14:paraId="26110C9A" w14:textId="77777777" w:rsidTr="005B57E3">
        <w:trPr>
          <w:trHeight w:val="132"/>
        </w:trPr>
        <w:tc>
          <w:tcPr>
            <w:tcW w:w="448" w:type="dxa"/>
          </w:tcPr>
          <w:p w14:paraId="35A04614" w14:textId="77777777" w:rsidR="00CA2C38" w:rsidRPr="00A91BCF" w:rsidRDefault="00CA2C38" w:rsidP="005B57E3">
            <w:pPr>
              <w:spacing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 xml:space="preserve">1  </w:t>
            </w:r>
          </w:p>
        </w:tc>
        <w:tc>
          <w:tcPr>
            <w:tcW w:w="6073" w:type="dxa"/>
          </w:tcPr>
          <w:p w14:paraId="60AD4142" w14:textId="77777777" w:rsidR="00CA2C38" w:rsidRPr="00A91BCF" w:rsidRDefault="00CA2C38" w:rsidP="005B57E3">
            <w:pPr>
              <w:spacing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Number of OWL class declarations exported to the rule engine</w:t>
            </w:r>
          </w:p>
        </w:tc>
        <w:tc>
          <w:tcPr>
            <w:tcW w:w="851" w:type="dxa"/>
          </w:tcPr>
          <w:p w14:paraId="71AD7291" w14:textId="77777777" w:rsidR="00CA2C38" w:rsidRPr="00A91BCF" w:rsidRDefault="00CA2C38" w:rsidP="005B57E3">
            <w:pPr>
              <w:spacing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CA2C38" w:rsidRPr="00A91BCF" w14:paraId="5E85AE09" w14:textId="77777777" w:rsidTr="005B57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771D4762" w14:textId="77777777" w:rsidR="00CA2C38" w:rsidRPr="00A91BCF" w:rsidRDefault="00CA2C38" w:rsidP="005B57E3">
            <w:pPr>
              <w:spacing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73" w:type="dxa"/>
          </w:tcPr>
          <w:p w14:paraId="394879D5" w14:textId="77777777" w:rsidR="00CA2C38" w:rsidRPr="00A91BCF" w:rsidRDefault="00CA2C38" w:rsidP="005B57E3">
            <w:pPr>
              <w:spacing w:line="2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Number of OWL individual declarations exported to the rule engine</w:t>
            </w:r>
          </w:p>
        </w:tc>
        <w:tc>
          <w:tcPr>
            <w:tcW w:w="851" w:type="dxa"/>
          </w:tcPr>
          <w:p w14:paraId="2C76A431" w14:textId="77777777" w:rsidR="00CA2C38" w:rsidRPr="00A91BCF" w:rsidRDefault="00CA2C38" w:rsidP="005B57E3">
            <w:pPr>
              <w:spacing w:line="2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</w:tr>
      <w:tr w:rsidR="00CA2C38" w:rsidRPr="00A91BCF" w14:paraId="5CA6A45A" w14:textId="77777777" w:rsidTr="005B57E3">
        <w:tblPrEx>
          <w:tblLook w:val="04A0" w:firstRow="1" w:lastRow="0" w:firstColumn="1" w:lastColumn="0" w:noHBand="0" w:noVBand="1"/>
        </w:tblPrEx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49727EFD" w14:textId="77777777" w:rsidR="00CA2C38" w:rsidRPr="00A91BCF" w:rsidRDefault="00CA2C38" w:rsidP="005B57E3">
            <w:pPr>
              <w:spacing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073" w:type="dxa"/>
          </w:tcPr>
          <w:p w14:paraId="487E8315" w14:textId="77777777" w:rsidR="00CA2C38" w:rsidRPr="00A91BCF" w:rsidRDefault="00CA2C38" w:rsidP="005B57E3">
            <w:pPr>
              <w:spacing w:line="22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Number of OWL object property declarations exported to the rule engine</w:t>
            </w:r>
          </w:p>
        </w:tc>
        <w:tc>
          <w:tcPr>
            <w:tcW w:w="851" w:type="dxa"/>
          </w:tcPr>
          <w:p w14:paraId="387787EF" w14:textId="77777777" w:rsidR="00CA2C38" w:rsidRPr="00A91BCF" w:rsidRDefault="00CA2C38" w:rsidP="005B57E3">
            <w:pPr>
              <w:spacing w:line="22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A2C38" w:rsidRPr="00A91BCF" w14:paraId="56A3AE40" w14:textId="77777777" w:rsidTr="005B57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7FFC0A4D" w14:textId="77777777" w:rsidR="00CA2C38" w:rsidRPr="00A91BCF" w:rsidRDefault="00CA2C38" w:rsidP="005B57E3">
            <w:pPr>
              <w:spacing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073" w:type="dxa"/>
          </w:tcPr>
          <w:p w14:paraId="0324249C" w14:textId="77777777" w:rsidR="00CA2C38" w:rsidRPr="00A91BCF" w:rsidRDefault="00CA2C38" w:rsidP="005B57E3">
            <w:pPr>
              <w:spacing w:line="2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Number of OWL data property declarations exported to the rule engine</w:t>
            </w:r>
          </w:p>
        </w:tc>
        <w:tc>
          <w:tcPr>
            <w:tcW w:w="851" w:type="dxa"/>
          </w:tcPr>
          <w:p w14:paraId="1C9D3915" w14:textId="77777777" w:rsidR="00CA2C38" w:rsidRPr="00A91BCF" w:rsidRDefault="00CA2C38" w:rsidP="005B57E3">
            <w:pPr>
              <w:spacing w:line="2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CA2C38" w:rsidRPr="00A91BCF" w14:paraId="12F5474B" w14:textId="77777777" w:rsidTr="005B57E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6060B300" w14:textId="77777777" w:rsidR="00CA2C38" w:rsidRPr="00A91BCF" w:rsidRDefault="00CA2C38" w:rsidP="005B57E3">
            <w:pPr>
              <w:spacing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073" w:type="dxa"/>
          </w:tcPr>
          <w:p w14:paraId="78BFFA76" w14:textId="77777777" w:rsidR="00CA2C38" w:rsidRPr="00A91BCF" w:rsidRDefault="00CA2C38" w:rsidP="005B57E3">
            <w:pPr>
              <w:spacing w:line="22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Total number of OWL axioms exported to the rule engine</w:t>
            </w:r>
          </w:p>
        </w:tc>
        <w:tc>
          <w:tcPr>
            <w:tcW w:w="851" w:type="dxa"/>
          </w:tcPr>
          <w:p w14:paraId="77F87D8B" w14:textId="77777777" w:rsidR="00CA2C38" w:rsidRPr="00A91BCF" w:rsidRDefault="00CA2C38" w:rsidP="005B57E3">
            <w:pPr>
              <w:spacing w:line="22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725</w:t>
            </w:r>
          </w:p>
        </w:tc>
      </w:tr>
      <w:tr w:rsidR="00CA2C38" w:rsidRPr="00A91BCF" w14:paraId="71F6B257" w14:textId="77777777" w:rsidTr="005B57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66BCBD38" w14:textId="77777777" w:rsidR="00CA2C38" w:rsidRPr="00A91BCF" w:rsidRDefault="00CA2C38" w:rsidP="005B57E3">
            <w:pPr>
              <w:spacing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073" w:type="dxa"/>
          </w:tcPr>
          <w:p w14:paraId="71B3F74A" w14:textId="77777777" w:rsidR="00CA2C38" w:rsidRPr="00A91BCF" w:rsidRDefault="00CA2C38" w:rsidP="005B57E3">
            <w:pPr>
              <w:spacing w:line="2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Number of inferred axioms</w:t>
            </w:r>
          </w:p>
        </w:tc>
        <w:tc>
          <w:tcPr>
            <w:tcW w:w="851" w:type="dxa"/>
          </w:tcPr>
          <w:p w14:paraId="2022CBF1" w14:textId="77777777" w:rsidR="00CA2C38" w:rsidRPr="00A91BCF" w:rsidRDefault="00CA2C38" w:rsidP="005B57E3">
            <w:pPr>
              <w:spacing w:line="2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843</w:t>
            </w:r>
          </w:p>
        </w:tc>
      </w:tr>
    </w:tbl>
    <w:p w14:paraId="2024B2FC" w14:textId="77777777" w:rsidR="00CA2C38" w:rsidRPr="00A91BCF" w:rsidRDefault="00CA2C38" w:rsidP="00CA2C38">
      <w:pPr>
        <w:rPr>
          <w:rFonts w:ascii="Times New Roman" w:hAnsi="Times New Roman"/>
          <w:sz w:val="24"/>
          <w:szCs w:val="24"/>
        </w:rPr>
      </w:pPr>
    </w:p>
    <w:p w14:paraId="3AF33F4B" w14:textId="77777777" w:rsidR="00CA2C38" w:rsidRDefault="00CA2C38" w:rsidP="00CA2C38"/>
    <w:p w14:paraId="0B083A8F" w14:textId="77777777" w:rsidR="00CA2C38" w:rsidRDefault="00CA2C38"/>
    <w:sectPr w:rsidR="00CA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38"/>
    <w:rsid w:val="00AA28B4"/>
    <w:rsid w:val="00CA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204E"/>
  <w15:chartTrackingRefBased/>
  <w15:docId w15:val="{36A5708C-06AD-AD4E-90A3-26B12D1B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C38"/>
    <w:pPr>
      <w:spacing w:line="260" w:lineRule="atLeast"/>
      <w:jc w:val="both"/>
    </w:pPr>
    <w:rPr>
      <w:rFonts w:ascii="Palatino Linotype" w:eastAsiaTheme="minorEastAsia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41tablecaption">
    <w:name w:val="MDPI_4.1_table_caption"/>
    <w:qFormat/>
    <w:rsid w:val="00CA2C38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/>
      <w:color w:val="000000"/>
      <w:kern w:val="0"/>
      <w:sz w:val="18"/>
      <w:szCs w:val="22"/>
      <w:lang w:val="en-US" w:eastAsia="de-DE" w:bidi="en-US"/>
      <w14:ligatures w14:val="none"/>
    </w:rPr>
  </w:style>
  <w:style w:type="table" w:styleId="PlainTable2">
    <w:name w:val="Plain Table 2"/>
    <w:basedOn w:val="TableNormal"/>
    <w:uiPriority w:val="42"/>
    <w:rsid w:val="00CA2C38"/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Байғараева Жанель Ермашқызы</dc:creator>
  <cp:keywords/>
  <dc:description/>
  <cp:lastModifiedBy>Assel G. Ospan</cp:lastModifiedBy>
  <cp:revision>2</cp:revision>
  <dcterms:created xsi:type="dcterms:W3CDTF">2023-10-21T12:56:00Z</dcterms:created>
  <dcterms:modified xsi:type="dcterms:W3CDTF">2023-10-26T02:52:00Z</dcterms:modified>
</cp:coreProperties>
</file>