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Axiom (公理專案) — 高擴充性通用博弈數值模擬與分析平台開發架構與規格文件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本文件旨在為百億級別數據量之博弈遊戲模擬、數值驗證與自動化報告平台提供完整之系統架構與開發規格。專案代號正式更名為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Project Axiom (公理專案)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，寓意系統底層建立在不可動搖的數學公理之上，具備對抗隨機性並精準收斂出長期期望值 (EV) 的核心通用計算能力。本系統底層採用 C++ 進行極速之蒙地卡羅模擬，數據中台透過 Python 進行統計分析、資產曲線繪製與報告生成，前端則負責將 Markdown 報告自動渲染為可讀性極佳之視覺化網頁，並全面部署於 Google Cloud Platform (GCP) 雲端環境中。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20" w:firstLine="0"/>
        <w:rPr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1. 專案命名與核心定位 (Project Naming &amp; Core Positioning)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專案名稱：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Project Axiom (公理數值核心系統)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核心定位：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打造一個「機制與業務分離」的高效能通用遊戲數值洗鍊中台。由於本專案定位於支援未來絕大多數的博弈遊戲（包含但不限於牌類、骰子、輪盤、老虎機等），因此核心模組摒棄特定遊戲的業務邏輯，將最底層高度優化的隨機數生成器（RNG）、多執行緒平行運算框架與大數統計收斂模組完全抽象化。第一階段以機制相對複雜的「看牌百家樂 (Peek Baccarat)」作為上層應用的驗證核心。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20" w:firstLine="0"/>
        <w:rPr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2. 第一階段驗證核心：看牌百家樂規則與數值設計 (Peek Baccarat Rules)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作為 Project Axiom 的首個上層實作驗證，看牌百家樂的數值核心邏輯包含強制手續費、隨機揭牌機制以及動態加注決策，用以考驗底層引擎的條件期望值動態檢索效能。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2.1 基礎對局與強制手續費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主要投注項：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玩家可選擇投注「閒家 (Player)」或「莊家 (Banker)」。亦可選擇投注「和局 (Tie)」與「對子 (Pairs)」等旁注。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看牌手續費 (Peek Fee)：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當玩家投注主注（閒家或莊家）時，系統將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強制收取投注本金之 20%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作為看牌手續費。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33333"/>
          <w:rtl w:val="0"/>
        </w:rPr>
        <w:t xml:space="preserve">範例：玩家下注 100 元，系統自動扣除 20 元手續費，總投入成本為 120 元。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旁注免佣：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和局與對子等旁注不收取此 20% 手續費。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2.2 隨機看牌機制 (The Peek Phase)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發牌員依照標準百家樂規則發出初始的四張牌（閒家兩張、莊家兩張），此時牌面向下。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由系統隨機數生成器 (RNG) 決定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隨機揭露 1 至 4 張牌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。揭露的張數與具體位置完全隨機，這構成了玩家決策的資訊基礎。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2.3 槓桿加注決策與最優策略 (Optimal Strategy)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加注選項：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玩家在看到揭露的牌後，可評估當前勝率。玩家可以選擇「不加注 (Check)」維持原注，或是選擇「加注 (Raise)」。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加注倍率：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加注額度可選擇初始主注本金的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2 倍 (2x) 或 3 倍 (3x)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此額外加注之注碼免收 20% 手續費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期望值控制：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C++ 運算層必須精準計算出每一種可能的看牌組合下，閒家與莊家的條件期望值 (Conditional EV)。最優策略（Optimal Strategy）為：當條件期望值大於一定閾值時，果斷加注 3 倍，以最大化收益並對沖初始 20% 的手續費成本。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理論回報率驗證目標：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在完美策略下，該遊戲之最優玩家回報率 (RTP) 理論值約為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98.80%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。模擬器需透過數億局的模擬收斂至此理論值，以驗證程式邏輯之正確性。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2.4 結算與賠率規則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看牌與加注階段結束後，依據標準百家樂補牌規則補齊剩餘牌張並進行結算：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投注項目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勝出賠率 (不含本金)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和局時之主注處理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備註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閒家 (Player)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 : 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退回初始主注與加注金額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初始 20% 手續費不予退回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莊家 (Banker)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1 : 0.95 (抽佣 5%)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退回初始主注與加注金額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初始 20% 手續費不予退回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和局 (Tie)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8 : 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N/A (旁注直接結算)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不收手續費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20" w:firstLine="0"/>
        <w:rPr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3. 系統分層架構設計 (System Infrastructure Design)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Axiom 平台架構高度抽象化，區分為核心公理運算、數據調度中台與前端展示三層結構，以利未來無縫嵌入非牌類遊戲。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3.1 底層運算層 (C++ Axiom Core Library)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職責：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專注於高併發的通用數學模擬、隨機數消解（支援標準 64 位元梅森旋轉演算法 mt19937_64 或硬體級安全隨機數種子）及多執行緒平行運算管理。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擴充特性：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不包含任何特定遊戲的渲染或介面邏輯，僅輸出結構化的對局原始數據矩陣與統計狀態碼，保證百億級別運算時的極致效能。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3.2 邏輯與數據中台層 (Python Middle-tier)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職責：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透過 pybind11 封裝 C++ 通用核心，作為膠水層接收前端的模擬指令，動態載入對應的遊戲邏輯插件（如牌類、骰子、Slot 滾輪等）。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數據處理：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使用 Pandas 承接大容量對局數據，完成 RTP 收斂曲線、波動率（Volatility）、最大回撤（Max Drawdown）等數值分析，並透過工具庫輸出圖表與動態組裝成 Markdown 報告。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3.3 服務與前端展示層 (Frontend &amp; Service Layer)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職責：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提供通用 Web 控制台介面，使用者可選擇不同遊戲模組（如當前的看牌百家樂，或未來的非牌類遊戲）並發起任務。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自動渲染：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前端整合 Markdown 渲染引擎，當後端產出分析報告後，前端非同步拉取並將其渲染為包含互動式圖表、高質感資料表格的數值分析報告。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20" w:firstLine="0"/>
        <w:rPr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4. C++ 底層核心庫規格 (C++ Component Specification)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4.1 通用公理基礎庫模組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RandomNumberGenerator (RNG) 類別：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封裝高效、均勻分佈的偽隨機數生成演算法，這是所有博弈遊戲公理的基石。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BaseSimulator 虛擬基底類別：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定義統一的通用模擬介面（如 RunSimulation(uint64_t rounds)）。未來不論是牌類的卡牌對局、骰子的點數加總、還是老虎機的符號組合，皆必須繼承並實作此介面，達成完美的多型擴充。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4.2 第一階段擴充模組：看牌百家樂引擎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CardEngine：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包含 Card, Shoe 類別，負責管理 8 副牌與標準洗牌切牌。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PeekBaccaratEngine：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繼承自 BaseSimulator。內嵌百家樂補牌 Tableau 機制、隨機揭牌、20% 手續費計算，並建立靜態條件期望值查表 (Static EV Look-up Table)，供模擬過程中 AI 玩家進行 2x/3x 加注決策時進行 $O(1)$ 的極速檢索。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20" w:firstLine="0"/>
        <w:rPr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5. Python 數據管道與 Markdown 自動化 (Python Pipeline)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5.1 C++ 整合層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288.0000114440918" w:lineRule="auto"/>
        <w:ind w:left="180" w:right="180" w:firstLine="0"/>
        <w:rPr>
          <w:rFonts w:ascii="Arial" w:cs="Arial" w:eastAsia="Arial" w:hAnsi="Arial"/>
          <w:sz w:val="22"/>
          <w:szCs w:val="22"/>
          <w:shd w:fill="f1f5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1f5f9" w:val="clear"/>
          <w:rtl w:val="0"/>
        </w:rPr>
        <w:t xml:space="preserve"># pybind11 綁定示例</w:t>
        <w:br w:type="textWrapping"/>
        <w:t xml:space="preserve">import pyaxiom as axm</w:t>
        <w:br w:type="textWrapping"/>
        <w:br w:type="textWrapping"/>
        <w:t xml:space="preserve"># 載入特定遊戲模組進行初始化</w:t>
        <w:br w:type="textWrapping"/>
        <w:t xml:space="preserve">simulator = axm.PeekBaccaratSimulator(shoe_count=8)</w:t>
        <w:br w:type="textWrapping"/>
        <w:t xml:space="preserve"># 在記憶體中返回包含千萬局對局數據的 NumPy 陣列</w:t>
        <w:br w:type="textWrapping"/>
        <w:t xml:space="preserve">raw_results = simulator.run_monte_carlo(10000000)</w:t>
        <w:br w:type="textWrapping"/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5.2 統計分析與圖表自動化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數據清洗與範本組裝：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使用 Pandas 轉換數據計算累積 RTP，利用 Matplotlib 生成收斂與資產曲線圖。最終利用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Jinja2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 模板將分析結果動態填入獨立的 Markdown 檔案中。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20" w:firstLine="0"/>
        <w:rPr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6. GCP 雲端部署架構 (GCP Cloud Architecture)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計算節點 (Google Cloud Batch / Compute Engine)：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C++ 模擬核心編譯為 Linux Docker 映像檔。透過 Cloud Batch 動態喚醒具備高核心數的搶佔式實例（Spot VMs）進行分散式並行計算，最大化節約算力成本。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API 與展示中台 (Cloud Run)：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FastAPI 後端與前端 Web 封裝為 Serverless 容器部署於 Cloud Run，具備無請求時自動縮容至零（Scale-to-Zero）的彈性特徵。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統一儲存庫 (Google Cloud Storage - GCS)：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產生的 Markdown 報告文字檔與 SVG 圖表皆直接上傳至專屬的 GCS Bucket。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20" w:firstLine="0"/>
        <w:rPr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7. 開發時程與交付里程碑 (Milestones &amp; Strategy)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階段 (Phase)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核心交付物 (Deliverables)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驗證標準 (Criteria)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C++ RNG與抽象 Simulator 基底、看牌百家樂卡牌核心邏輯、Python binding。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基礎模擬 1 億局，百家樂原始回報率完全符合理論數學模型。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 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看牌百家樂隨機揭牌、手續費、2x/3x 加注查表決策矩陣與完美策略實作。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完美策略下，大型模擬精確收斂至 98.80% 理論 RTP 區間。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Pandas 通用統計中台、Matplotlib 圖表生成器、Jinja2 報告自動化。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一鍵生成包含完整統計指標與趨勢圖的獨立 Markdown 檔案。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 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GCP 架構部署與前端 Markdown 自動化美化渲染頁面（支援不同遊戲切換）。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Web 端可自由切換遊戲模組、發起模擬，並能在網頁上流暢閱讀排版優雅的報告。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