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It is organized by the chapter each section is expected to land in, following the structure recorded in WRITING_TRACKER.md.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avgpcon and PM100's node_power_consumption turn out to be the same category of field — both measure a job's total power draw, summed across every node it used, not a single node's reading. Section 5.4 confirmed this directly for node_power_consumption, by dividing each job's mean power by its allocated node count and finding the result holds close to constant, 677–732 watts, across node counts from 1 to 32 — a true per-node reading would not need that division to land in the same range at every scale. The two fields measure the same kind of quantity, but not the same hardware or the same job scale, and any table that puts them side by side still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The same pattern holds for the other five targets. F-DATA's memory and power, and all three of PM100's targets, show the same near-zero-dominated raw histogram spread into something usable once log1p-transformed.</w:t>
      </w:r>
    </w:p>
    <w:p>
      <w:pPr>
        <w:jc w:val="center"/>
      </w:pPr>
      <w:r>
        <w:drawing>
          <wp:inline xmlns:a="http://schemas.openxmlformats.org/drawingml/2006/main" xmlns:pic="http://schemas.openxmlformats.org/drawingml/2006/picture">
            <wp:extent cx="5029200" cy="1981200"/>
            <wp:docPr id="2" name="Picture 2"/>
            <wp:cNvGraphicFramePr>
              <a:graphicFrameLocks noChangeAspect="1"/>
            </wp:cNvGraphicFramePr>
            <a:graphic>
              <a:graphicData uri="http://schemas.openxmlformats.org/drawingml/2006/picture">
                <pic:pic>
                  <pic:nvPicPr>
                    <pic:cNvPr id="0" name="nb01_cell15_img2.png"/>
                    <pic:cNvPicPr/>
                  </pic:nvPicPr>
                  <pic:blipFill>
                    <a:blip r:embed="rId10"/>
                    <a:stretch>
                      <a:fillRect/>
                    </a:stretch>
                  </pic:blipFill>
                  <pic:spPr>
                    <a:xfrm>
                      <a:off x="0" y="0"/>
                      <a:ext cx="5029200" cy="1981200"/>
                    </a:xfrm>
                    <a:prstGeom prst="rect"/>
                  </pic:spPr>
                </pic:pic>
              </a:graphicData>
            </a:graphic>
          </wp:inline>
        </w:drawing>
      </w:r>
    </w:p>
    <w:p>
      <w:pPr>
        <w:jc w:val="center"/>
      </w:pPr>
      <w:r>
        <w:rPr>
          <w:i/>
          <w:sz w:val="20"/>
        </w:rPr>
        <w:t>Figure 3.5. F-DATA memory (mmszu), raw versus log1p-transformed.</w:t>
      </w:r>
    </w:p>
    <w:p>
      <w:pPr>
        <w:jc w:val="center"/>
      </w:pPr>
      <w:r>
        <w:drawing>
          <wp:inline xmlns:a="http://schemas.openxmlformats.org/drawingml/2006/main" xmlns:pic="http://schemas.openxmlformats.org/drawingml/2006/picture">
            <wp:extent cx="5029200" cy="1983203"/>
            <wp:docPr id="3" name="Picture 3"/>
            <wp:cNvGraphicFramePr>
              <a:graphicFrameLocks noChangeAspect="1"/>
            </wp:cNvGraphicFramePr>
            <a:graphic>
              <a:graphicData uri="http://schemas.openxmlformats.org/drawingml/2006/picture">
                <pic:pic>
                  <pic:nvPicPr>
                    <pic:cNvPr id="0" name="nb01_cell15_img3.png"/>
                    <pic:cNvPicPr/>
                  </pic:nvPicPr>
                  <pic:blipFill>
                    <a:blip r:embed="rId11"/>
                    <a:stretch>
                      <a:fillRect/>
                    </a:stretch>
                  </pic:blipFill>
                  <pic:spPr>
                    <a:xfrm>
                      <a:off x="0" y="0"/>
                      <a:ext cx="5029200" cy="1983203"/>
                    </a:xfrm>
                    <a:prstGeom prst="rect"/>
                  </pic:spPr>
                </pic:pic>
              </a:graphicData>
            </a:graphic>
          </wp:inline>
        </w:drawing>
      </w:r>
    </w:p>
    <w:p>
      <w:pPr>
        <w:jc w:val="center"/>
      </w:pPr>
      <w:r>
        <w:rPr>
          <w:i/>
          <w:sz w:val="20"/>
        </w:rPr>
        <w:t>Figure 3.6. F-DATA power (avgpcon), raw versus log1p-transformed.</w:t>
      </w:r>
    </w:p>
    <w:p>
      <w:pPr>
        <w:jc w:val="center"/>
      </w:pPr>
      <w:r>
        <w:drawing>
          <wp:inline xmlns:a="http://schemas.openxmlformats.org/drawingml/2006/main" xmlns:pic="http://schemas.openxmlformats.org/drawingml/2006/picture">
            <wp:extent cx="5029200" cy="1981200"/>
            <wp:docPr id="4" name="Picture 4"/>
            <wp:cNvGraphicFramePr>
              <a:graphicFrameLocks noChangeAspect="1"/>
            </wp:cNvGraphicFramePr>
            <a:graphic>
              <a:graphicData uri="http://schemas.openxmlformats.org/drawingml/2006/picture">
                <pic:pic>
                  <pic:nvPicPr>
                    <pic:cNvPr id="0" name="nb01_cell16_img4.png"/>
                    <pic:cNvPicPr/>
                  </pic:nvPicPr>
                  <pic:blipFill>
                    <a:blip r:embed="rId12"/>
                    <a:stretch>
                      <a:fillRect/>
                    </a:stretch>
                  </pic:blipFill>
                  <pic:spPr>
                    <a:xfrm>
                      <a:off x="0" y="0"/>
                      <a:ext cx="5029200" cy="1981200"/>
                    </a:xfrm>
                    <a:prstGeom prst="rect"/>
                  </pic:spPr>
                </pic:pic>
              </a:graphicData>
            </a:graphic>
          </wp:inline>
        </w:drawing>
      </w:r>
    </w:p>
    <w:p>
      <w:pPr>
        <w:jc w:val="center"/>
      </w:pPr>
      <w:r>
        <w:rPr>
          <w:i/>
          <w:sz w:val="20"/>
        </w:rPr>
        <w:t>Figure 3.7. PM100 execution time (run_time), raw versus log1p-transformed.</w:t>
      </w:r>
    </w:p>
    <w:p>
      <w:pPr>
        <w:jc w:val="center"/>
      </w:pPr>
      <w:r>
        <w:drawing>
          <wp:inline xmlns:a="http://schemas.openxmlformats.org/drawingml/2006/main" xmlns:pic="http://schemas.openxmlformats.org/drawingml/2006/picture">
            <wp:extent cx="5029200" cy="1981200"/>
            <wp:docPr id="5" name="Picture 5"/>
            <wp:cNvGraphicFramePr>
              <a:graphicFrameLocks noChangeAspect="1"/>
            </wp:cNvGraphicFramePr>
            <a:graphic>
              <a:graphicData uri="http://schemas.openxmlformats.org/drawingml/2006/picture">
                <pic:pic>
                  <pic:nvPicPr>
                    <pic:cNvPr id="0" name="nb01_cell16_img5.png"/>
                    <pic:cNvPicPr/>
                  </pic:nvPicPr>
                  <pic:blipFill>
                    <a:blip r:embed="rId13"/>
                    <a:stretch>
                      <a:fillRect/>
                    </a:stretch>
                  </pic:blipFill>
                  <pic:spPr>
                    <a:xfrm>
                      <a:off x="0" y="0"/>
                      <a:ext cx="5029200" cy="1981200"/>
                    </a:xfrm>
                    <a:prstGeom prst="rect"/>
                  </pic:spPr>
                </pic:pic>
              </a:graphicData>
            </a:graphic>
          </wp:inline>
        </w:drawing>
      </w:r>
    </w:p>
    <w:p>
      <w:pPr>
        <w:jc w:val="center"/>
      </w:pPr>
      <w:r>
        <w:rPr>
          <w:i/>
          <w:sz w:val="20"/>
        </w:rPr>
        <w:t>Figure 3.8. PM100 memory (mem_alloc), raw versus log1p-transformed.</w:t>
      </w:r>
    </w:p>
    <w:p>
      <w:pPr>
        <w:jc w:val="center"/>
      </w:pPr>
      <w:r>
        <w:drawing>
          <wp:inline xmlns:a="http://schemas.openxmlformats.org/drawingml/2006/main" xmlns:pic="http://schemas.openxmlformats.org/drawingml/2006/picture">
            <wp:extent cx="5029200" cy="1981200"/>
            <wp:docPr id="6" name="Picture 6"/>
            <wp:cNvGraphicFramePr>
              <a:graphicFrameLocks noChangeAspect="1"/>
            </wp:cNvGraphicFramePr>
            <a:graphic>
              <a:graphicData uri="http://schemas.openxmlformats.org/drawingml/2006/picture">
                <pic:pic>
                  <pic:nvPicPr>
                    <pic:cNvPr id="0" name="nb01_cell16_img6.png"/>
                    <pic:cNvPicPr/>
                  </pic:nvPicPr>
                  <pic:blipFill>
                    <a:blip r:embed="rId14"/>
                    <a:stretch>
                      <a:fillRect/>
                    </a:stretch>
                  </pic:blipFill>
                  <pic:spPr>
                    <a:xfrm>
                      <a:off x="0" y="0"/>
                      <a:ext cx="5029200" cy="1981200"/>
                    </a:xfrm>
                    <a:prstGeom prst="rect"/>
                  </pic:spPr>
                </pic:pic>
              </a:graphicData>
            </a:graphic>
          </wp:inline>
        </w:drawing>
      </w:r>
    </w:p>
    <w:p>
      <w:pPr>
        <w:jc w:val="center"/>
      </w:pPr>
      <w:r>
        <w:rPr>
          <w:i/>
          <w:sz w:val="20"/>
        </w:rPr>
        <w:t>Figure 3.9. PM100 power (node_power_consumption), raw versus log1p-transformed.</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7" name="Picture 7"/>
            <wp:cNvGraphicFramePr>
              <a:graphicFrameLocks noChangeAspect="1"/>
            </wp:cNvGraphicFramePr>
            <a:graphic>
              <a:graphicData uri="http://schemas.openxmlformats.org/drawingml/2006/picture">
                <pic:pic>
                  <pic:nvPicPr>
                    <pic:cNvPr id="0" name="nb01_cell18_img7.png"/>
                    <pic:cNvPicPr/>
                  </pic:nvPicPr>
                  <pic:blipFill>
                    <a:blip r:embed="rId15"/>
                    <a:stretch>
                      <a:fillRect/>
                    </a:stretch>
                  </pic:blipFill>
                  <pic:spPr>
                    <a:xfrm>
                      <a:off x="0" y="0"/>
                      <a:ext cx="5029200" cy="1708704"/>
                    </a:xfrm>
                    <a:prstGeom prst="rect"/>
                  </pic:spPr>
                </pic:pic>
              </a:graphicData>
            </a:graphic>
          </wp:inline>
        </w:drawing>
      </w:r>
    </w:p>
    <w:p>
      <w:pPr>
        <w:jc w:val="center"/>
      </w:pPr>
      <w:r>
        <w:rPr>
          <w:i/>
          <w:sz w:val="20"/>
        </w:rPr>
        <w:t>Figure 3.10. F-DATA jobs per day across the sampled files.</w:t>
      </w:r>
    </w:p>
    <w:p>
      <w:pPr>
        <w:jc w:val="center"/>
      </w:pPr>
      <w:r>
        <w:drawing>
          <wp:inline xmlns:a="http://schemas.openxmlformats.org/drawingml/2006/main" xmlns:pic="http://schemas.openxmlformats.org/drawingml/2006/picture">
            <wp:extent cx="5029200" cy="1708704"/>
            <wp:docPr id="8" name="Picture 8"/>
            <wp:cNvGraphicFramePr>
              <a:graphicFrameLocks noChangeAspect="1"/>
            </wp:cNvGraphicFramePr>
            <a:graphic>
              <a:graphicData uri="http://schemas.openxmlformats.org/drawingml/2006/picture">
                <pic:pic>
                  <pic:nvPicPr>
                    <pic:cNvPr id="0" name="nb01_cell18_img8.png"/>
                    <pic:cNvPicPr/>
                  </pic:nvPicPr>
                  <pic:blipFill>
                    <a:blip r:embed="rId16"/>
                    <a:stretch>
                      <a:fillRect/>
                    </a:stretch>
                  </pic:blipFill>
                  <pic:spPr>
                    <a:xfrm>
                      <a:off x="0" y="0"/>
                      <a:ext cx="5029200" cy="1708704"/>
                    </a:xfrm>
                    <a:prstGeom prst="rect"/>
                  </pic:spPr>
                </pic:pic>
              </a:graphicData>
            </a:graphic>
          </wp:inline>
        </w:drawing>
      </w:r>
    </w:p>
    <w:p>
      <w:pPr>
        <w:jc w:val="center"/>
      </w:pPr>
      <w:r>
        <w:rPr>
          <w:i/>
          <w:sz w:val="20"/>
        </w:rPr>
        <w:t>Figure 3.11.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On the current dev sample, that rolling average was populated for 4,426 of 4,721 F-DATA jobs (93.8 percent) and 3,717 of 3,952 PM100 jobs (94.1 percent) — high coverage at this scale, but notebook 02 flags it as provisional rather than final: with only a handful of scattered months loaded so far, many of these rolling averages rest on very few prior jobs per user rather than a full window, and both the coverage rate and the values themselves are expected to firm up once more of the dataset is loaded.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plan called for reducing it with PCA to, in the proposal's words,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9" name="Picture 9"/>
            <wp:cNvGraphicFramePr>
              <a:graphicFrameLocks noChangeAspect="1"/>
            </wp:cNvGraphicFramePr>
            <a:graphic>
              <a:graphicData uri="http://schemas.openxmlformats.org/drawingml/2006/picture">
                <pic:pic>
                  <pic:nvPicPr>
                    <pic:cNvPr id="0" name="nb02_cell22_img3.png"/>
                    <pic:cNvPicPr/>
                  </pic:nvPicPr>
                  <pic:blipFill>
                    <a:blip r:embed="rId17"/>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5.2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10" name="Picture 10"/>
            <wp:cNvGraphicFramePr>
              <a:graphicFrameLocks noChangeAspect="1"/>
            </wp:cNvGraphicFramePr>
            <a:graphic>
              <a:graphicData uri="http://schemas.openxmlformats.org/drawingml/2006/picture">
                <pic:pic>
                  <pic:nvPicPr>
                    <pic:cNvPr id="0" name="nb02_cell11_img1.png"/>
                    <pic:cNvPicPr/>
                  </pic:nvPicPr>
                  <pic:blipFill>
                    <a:blip r:embed="rId18"/>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11" name="Picture 11"/>
            <wp:cNvGraphicFramePr>
              <a:graphicFrameLocks noChangeAspect="1"/>
            </wp:cNvGraphicFramePr>
            <a:graphic>
              <a:graphicData uri="http://schemas.openxmlformats.org/drawingml/2006/picture">
                <pic:pic>
                  <pic:nvPicPr>
                    <pic:cNvPr id="0" name="nb02_cell17_img2.png"/>
                    <pic:cNvPicPr/>
                  </pic:nvPicPr>
                  <pic:blipFill>
                    <a:blip r:embed="rId19"/>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5 (partial): Experimental Environment and Reproducibility</w:t>
      </w:r>
    </w:p>
    <w:p>
      <w:r>
        <w:t>This chapter's final form will also cover model training details once those exist. The material below documents the computing environment and the memory constraints discovered while building the data pipeline, which belong here regardless of what else the chapter ends up containing.</w:t>
      </w:r>
    </w:p>
    <w:p>
      <w:pPr>
        <w:pStyle w:val="Heading2"/>
      </w:pPr>
      <w:r>
        <w:t>5.1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5.2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5.3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in Chapter 4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p>
      <w:pPr>
        <w:pStyle w:val="Heading2"/>
      </w:pPr>
      <w:r>
        <w:t>5.4 Analytical Baselines</w:t>
      </w:r>
    </w:p>
    <w:p>
      <w:r>
        <w:t>Notebook 03 built the two analytical baselines the plan calls for: a Hierarchical Roofline model for F-DATA, and a calibrated resource-utilization power model for PM100. The two datasets need different treatments here, not just different numbers — F-DATA has the hardware performance counters Roofline requires, and PM100 does not, a distinction established already in Section 3.1.</w:t>
      </w:r>
    </w:p>
    <w:p>
      <w:r>
        <w:t>F-DATA was loaded as six consecutive monthly files, March through August 2021, rather than the scattered-month sampling used in notebooks 01 and 02. The chronological train/test split this notebook needed only makes sense across a real, contiguous span of time, and six scattered months would not have given one. PM100 was loaded in full, as it has been throughout. Both datasets were filtered to completed jobs only, the same filter used since Section 3.6: 10.5 percent of F-DATA's 2,897,734 loaded rows were excluded on this six-month slice, and 22.0 percent of PM100's 231,238 rows. That PM100 figure is measured on this notebook's own six-month window and is not the same measurement as the 21.0 percent reported in Section 3.6 against a different sample — the two numbers are close but come from different slices of the dataset, not from the same computation repeated.</w:t>
      </w:r>
    </w:p>
    <w:p>
      <w:r>
        <w:t>A chronological split was implemented for the first time in this notebook: 70 percent of each dataset's rows by submission time go to training, the remaining 30 percent to testing, with the boundary itself computed as a quantile of submission time rather than hand-picked. For F-DATA that boundary fell on July 1, 2021, giving 1,815,596 training rows and 777,528 test rows. For PM100 it fell on September 19, 2020, giving 126,217 training rows and 54,093 test rows. This split is now implemented once, in a shared module, so every notebook from here forward compares models against the same boundary rather than each picking its own.</w:t>
      </w:r>
    </w:p>
    <w:p>
      <w:r>
        <w:t>F-DATA's Roofline ceiling comes from the A64FX processor's published specifications: 3.3792 teraFLOP/s double-precision peak and 1024 gigabytes/second of peak HBM2 bandwidth, both per node. Before trusting any of this, I checked two things directly against the data rather than assuming them from the column documentation. First, that opint, F-DATA's own operational-intensity field, actually equals flops divided by mbwidth: it does, with a relative error of 0.00e+00 across all 2,593,124 completed jobs in this sample, meaning F-DATA's authors precompute it exactly and I did not need to recompute it myself. Second, that flops and mbwidth are job-wide totals rather than per-node figures, the same question Section 3.2 raised about avgpcon. The check was direct: 977 jobs appear to exceed the A64FX's single-node peak FLOP/s if node count is ignored, but zero jobs exceed it once each job's rate is divided by its node count. Both fields are job-wide totals, so the ceiling applied below is scaled by each job's node count before comparison.</w:t>
      </w:r>
    </w:p>
    <w:p>
      <w:pPr>
        <w:jc w:val="center"/>
      </w:pPr>
      <w:r>
        <w:drawing>
          <wp:inline xmlns:a="http://schemas.openxmlformats.org/drawingml/2006/main" xmlns:pic="http://schemas.openxmlformats.org/drawingml/2006/picture">
            <wp:extent cx="5029200" cy="4300330"/>
            <wp:docPr id="12" name="Picture 12"/>
            <wp:cNvGraphicFramePr>
              <a:graphicFrameLocks noChangeAspect="1"/>
            </wp:cNvGraphicFramePr>
            <a:graphic>
              <a:graphicData uri="http://schemas.openxmlformats.org/drawingml/2006/picture">
                <pic:pic>
                  <pic:nvPicPr>
                    <pic:cNvPr id="0" name="nb03_cell12_img1.png"/>
                    <pic:cNvPicPr/>
                  </pic:nvPicPr>
                  <pic:blipFill>
                    <a:blip r:embed="rId20"/>
                    <a:stretch>
                      <a:fillRect/>
                    </a:stretch>
                  </pic:blipFill>
                  <pic:spPr>
                    <a:xfrm>
                      <a:off x="0" y="0"/>
                      <a:ext cx="5029200" cy="4300330"/>
                    </a:xfrm>
                    <a:prstGeom prst="rect"/>
                  </pic:spPr>
                </pic:pic>
              </a:graphicData>
            </a:graphic>
          </wp:inline>
        </w:drawing>
      </w:r>
    </w:p>
    <w:p>
      <w:pPr>
        <w:jc w:val="center"/>
      </w:pPr>
      <w:r>
        <w:rPr>
          <w:i/>
          <w:sz w:val="20"/>
        </w:rPr>
        <w:t>Figure 5.1. F-DATA Roofline, per-node operational intensity against per-node performance, for 2,593,124 completed jobs across the six-month sample. The red ceiling combines the compute-bound peak (3.3792 TFLOP/s) and the memory-bound line (operational intensity times 1024 GB/s); the dashed line marks the ridge point at 3.30 FLOP/byte.</w:t>
      </w:r>
    </w:p>
    <w:p>
      <w:r>
        <w:t>Classifying each job as compute-bound or memory-bound from its position relative to the ridge point recovered F-DATA's own precomputed pclass label in 99.9931 percent of jobs, which is as close to a direct confirmation of the ceiling's correctness as this data can give.</w:t>
      </w:r>
    </w:p>
    <w:p>
      <w:r>
        <w:t>The Roofline ceiling implies a best-case duration for every job: how long it would take running at the fastest rate its own measured operational intensity allows. Evaluated against actual duration on the held-out test split, this scored an R² of -0.326 and a MAPE of 99.93 percent. A naive baseline — each job's own user's median duration over their training-period jobs, falling back to the training-period global median for users with no training history — scored an R² of -0.096 and a MAPE of 15,770 percent on the same split. Both numbers being negative is not a bug in either baseline. The Roofline ceiling assumes a job spends its entire wall-clock duration running at peak achievable rate, with no time lost to I/O, synchronization, or any other non-compute phase, so its predicted durations come out roughly five orders of magnitude below actual ones — a job predicted to finish in a fraction of a second actually running for thousands of seconds is the expected outcome of that assumption, not a sign the ceiling was computed wrong. The naive baseline's enormous MAPE is a known property of that metric when actual values sit close to zero — F-DATA's minimum recorded duration is 1 second — rather than evidence the median itself is a bad estimate; RMSE and R² tell a more usable story for this baseline than MAPE does on its own. Both baselines are exactly the floor the classical ML, deep learning, and hybrid models in later chapters need to clear, and a physics-informed model landing this far below even a naive median is itself worth stating plainly in this thesis rather than only reporting the numbers that make later models look good.</w:t>
      </w:r>
    </w:p>
    <w:p>
      <w:r>
        <w:t>PM100 has no FLOP, instruction, or performance-counter field anywhere in its schema — confirmed directly against documentation/job_features.md, not assumed from the absence noted in Section 3.1 — so no Roofline variant is computable there. The plan calls instead for a calibrated power model, fixed in functional form by hardware reasoning (an idle baseline plus a linear contribution per allocated resource) with only the coefficients fit to data.</w:t>
      </w:r>
    </w:p>
    <w:p>
      <w:r>
        <w:t>Building that model meant revisiting an assumption from Section 3.2, which described PM100's node_power_consumption as genuinely per-node, in contrast to F-DATA's job-total avgpcon. That assumption does not hold. Dividing each job's mean power by its allocated node count gives a per-node figure that stays close to constant across every node count from 1 to 32: 731.1 watts at 1 node, 720.1 at 2, 717.4 at 4, 701.8 at 8, 677.3 at 16, and 732.1 at 32. A reading that were actually per-node would not need dividing by node count to land in the same range at every scale; the fact that it does only after dividing means the raw field is already summed across every allocated node at each 20-second sample, the same kind of quantity avgpcon turned out to be in F-DATA. This is a correction to Section 3.2's framing, not an extension of it, and the power model below is built for the corrected, job-total interpretation: the idle-power term scales with the number of nodes allocated, rather than being added once per job.</w:t>
      </w:r>
    </w:p>
    <w:p>
      <w:pPr>
        <w:jc w:val="center"/>
      </w:pPr>
      <w:r>
        <w:drawing>
          <wp:inline xmlns:a="http://schemas.openxmlformats.org/drawingml/2006/main" xmlns:pic="http://schemas.openxmlformats.org/drawingml/2006/picture">
            <wp:extent cx="5029200" cy="3204882"/>
            <wp:docPr id="13" name="Picture 13"/>
            <wp:cNvGraphicFramePr>
              <a:graphicFrameLocks noChangeAspect="1"/>
            </wp:cNvGraphicFramePr>
            <a:graphic>
              <a:graphicData uri="http://schemas.openxmlformats.org/drawingml/2006/picture">
                <pic:pic>
                  <pic:nvPicPr>
                    <pic:cNvPr id="0" name="nb03_cell19_img2.png"/>
                    <pic:cNvPicPr/>
                  </pic:nvPicPr>
                  <pic:blipFill>
                    <a:blip r:embed="rId21"/>
                    <a:stretch>
                      <a:fillRect/>
                    </a:stretch>
                  </pic:blipFill>
                  <pic:spPr>
                    <a:xfrm>
                      <a:off x="0" y="0"/>
                      <a:ext cx="5029200" cy="3204882"/>
                    </a:xfrm>
                    <a:prstGeom prst="rect"/>
                  </pic:spPr>
                </pic:pic>
              </a:graphicData>
            </a:graphic>
          </wp:inline>
        </w:drawing>
      </w:r>
    </w:p>
    <w:p>
      <w:pPr>
        <w:jc w:val="center"/>
      </w:pPr>
      <w:r>
        <w:rPr>
          <w:i/>
          <w:sz w:val="20"/>
        </w:rPr>
        <w:t>Figure 5.2. PM100's mean node_power_consumption divided by allocated node count, for jobs at each node count from 1 to 32. A per-node reading would not need this division to stay flat across scales.</w:t>
      </w:r>
    </w:p>
    <w:p>
      <w:r>
        <w:t>Before fitting anything, I checked how the model's four predictors — allocated nodes, cores, GPUs, and memory — relate to each other, since Marconi100 assigns cores, GPUs, and memory to a job in close to a fixed ratio per node. They are correlated with each other at 0.85 to 0.97 across every pair. That is worth knowing before looking at the calibrated coefficients below, not after.</w:t>
      </w:r>
    </w:p>
    <w:p>
      <w:r>
        <w:t>The model was calibrated by ordinary least squares on the training split only, never touching the test split: an idle-power coefficient of 747.6 watts, 0.256 watts per allocated core, -23.674 watts per allocated GPU, and -0.126 watts per megabyte of allocated memory. The idle-power figure lands close to the 677-732 watt range measured directly above, which is a reasonable plausibility check on the fit. The GPU and memory coefficients coming out negative is physically backwards for resources that should only add to a node's power draw, and the correlation checked above is the direct explanation: with four predictors this closely tied to each other, ordinary least squares has no clean way to attribute the outcome to one of them over its near-duplicate neighbors, even when the resulting fit predicts well overall. I am reporting the coefficients as the fit produced them rather than adjusting them to look more physically sensible, since that would misrepresent what the calibration actually found.</w:t>
      </w:r>
    </w:p>
    <w:p>
      <w:pPr>
        <w:jc w:val="center"/>
      </w:pPr>
      <w:r>
        <w:drawing>
          <wp:inline xmlns:a="http://schemas.openxmlformats.org/drawingml/2006/main" xmlns:pic="http://schemas.openxmlformats.org/drawingml/2006/picture">
            <wp:extent cx="5029200" cy="3970867"/>
            <wp:docPr id="14" name="Picture 14"/>
            <wp:cNvGraphicFramePr>
              <a:graphicFrameLocks noChangeAspect="1"/>
            </wp:cNvGraphicFramePr>
            <a:graphic>
              <a:graphicData uri="http://schemas.openxmlformats.org/drawingml/2006/picture">
                <pic:pic>
                  <pic:nvPicPr>
                    <pic:cNvPr id="0" name="nb03_cell25_img3.png"/>
                    <pic:cNvPicPr/>
                  </pic:nvPicPr>
                  <pic:blipFill>
                    <a:blip r:embed="rId22"/>
                    <a:stretch>
                      <a:fillRect/>
                    </a:stretch>
                  </pic:blipFill>
                  <pic:spPr>
                    <a:xfrm>
                      <a:off x="0" y="0"/>
                      <a:ext cx="5029200" cy="3970867"/>
                    </a:xfrm>
                    <a:prstGeom prst="rect"/>
                  </pic:spPr>
                </pic:pic>
              </a:graphicData>
            </a:graphic>
          </wp:inline>
        </w:drawing>
      </w:r>
    </w:p>
    <w:p>
      <w:pPr>
        <w:jc w:val="center"/>
      </w:pPr>
      <w:r>
        <w:rPr>
          <w:i/>
          <w:sz w:val="20"/>
        </w:rPr>
        <w:t>Figure 5.3. PM100 calibrated power model, predicted against actual mean power on the training-period calibration subset. The dashed line marks perfect prediction.</w:t>
      </w:r>
    </w:p>
    <w:p>
      <w:r>
        <w:t>On the held-out test split, the calibrated model scored an R² of 0.910 and a MAPE of 21.82 percent, against the naive per-user-median baseline's R² of 0.096 and MAPE of 49.75 percent on the same jobs — a wide margin in the calibrated model's favor. Read together with the Roofline results above, the two analytical baselines behave very differently relative to their own naive floors: PM100's power target turns out to be far more predictable from allocated resources alone than F-DATA's duration is from a user's own recent history, at least on the six-month and six-consecutive-month slices used here. The model's predictions are trustworthy on this evidence; its individual coefficients, for the reason given above, are not.</w:t>
      </w:r>
    </w:p>
    <w:p>
      <w:r>
        <w:t>F-DATA's Roofline baseline and PM100's power model are not directly comparable to each other — different formulas, different physical quantities, and different targets, execution time against power. Any table in this thesis that places both side by side, including the one notebook 03 builds for its own recordkeeping, exists for convenience of layout, not as a claim that the two numbers mean the same thing.</w:t>
      </w:r>
    </w:p>
    <w:p>
      <w:r>
        <w:t>Section 3.3 called re-checking assertions after every transformation step a deliberate discipline rather than a formality, and this notebook kept it up: opint's non-negativity and finiteness, the Roofline ceiling never exceeding the compute-bound peak, positive predicted durations, finite calibration coefficients, the log1p/expm1 round-trip, and no leakage across the chronological split all passed before any number reported above was trusted.</w:t>
      </w:r>
    </w:p>
    <w:p>
      <w:r>
        <w:t>Three things are deferred past this notebook. The Roofline analysis above covers six of F-DATA's 38 months; the full-scale run is left for a later notebook, consistent with the dev-scale approach used throughout this chapter. The rolling-window temporal-drift check across F-DATA's full span, separate from the single chronological split used here, has not been run. And both baselines built here — Roofline, the naive median, and the calibrated power model — are meant to be reused in the full evaluation sweep planned for notebook 08, sitting in the same comparison tables as the random forest, gradient-boosted tree, feedforward, recurrent, and hybrid models covered in later chapters.</w:t>
      </w:r>
    </w:p>
    <w:p>
      <w:pPr>
        <w:pStyle w:val="Heading2"/>
      </w:pPr>
      <w:r>
        <w:t>5.5 Microbenchmark Validation</w:t>
      </w:r>
    </w:p>
    <w:p>
      <w:r>
        <w:t>Decision #16 calls for a small, contained side-study alongside the two analytical baselines in Section 5.4: run a handful of GPU kernels locally and check the Roofline construction against real, directly-timed hardware behavior, rather than relying only on a dataset's self-reported counters. Notebook 04 is that side-study, and it doesn't feed into F-DATA or PM100 at all — its only job is to check whether the ceiling formula and the compute/memory-bound classification logic behind notebook 03's F-DATA Roofline actually recover the right answer when the right answer is known in advance.</w:t>
      </w:r>
    </w:p>
    <w:p>
      <w:r>
        <w:t>It runs on this workstation's own RTX 3090, confirmed directly rather than assumed: a GA102 die, 82 streaming multiprocessors, compute capability 8.6, 25.29 gigabytes of memory. Published specs put its double-precision peak at 0.556 teraFLOP/s and its single-precision peak at 35.58 teraFLOP/s — consumer Ampere runs FP64 at 1/64 the FP32 rate, a restriction a datacenter part like the A100 doesn't share — and its memory bandwidth at 936.2 gigabytes per second across a 384-bit GDDR6X bus.</w:t>
      </w:r>
    </w:p>
    <w:p>
      <w:r>
        <w:t>The plan named NAS Parallel Benchmarks or Rodinia's kernel suite as the source material, following Konstantinidis et al. 2017's microbenchmark-based Roofline approach. Neither suite was actually compiled and run here; four standard operations implemented directly in PyTorch substitute for them — vector_add (SAXPY/DAXPY), dot_product, gemv (matrix-vector multiply), and gemm (matrix-matrix multiply) — chosen to span the same low-to-high arithmetic-intensity range Rodinia's kernels do, in less time than standing up an external C/CUDA build. None of these four resemble anything in F-DATA's actual job mix, and that's not an oversight: this notebook validates the Roofline construction itself, not F-DATA's workload characteristics, and validating a construction requires kernels whose FLOP count and byte count are known exactly, so their true compute- or memory-bound regime is known in advance. F-DATA's own jobs offer no such independent ground truth — only the dataset's own precomputed pclass label, which risks confirming the same method it's meant to check rather than testing it against something external. Konstantinidis et al. 2017's own approach uses this same logic: synthetic, controlled kernels trace a GPU's achievable-performance curve independent of whatever workload eventually runs against it. Dense linear algebra isn't an arbitrary stand-in either — GEMM and GEMV underlie a large share of real scientific computing — but no claim is made that these four kernels reproduce F-DATA's actual jobs; that would need profiling real F-DATA-representative application code, which is out of scope here.</w:t>
      </w:r>
    </w:p>
    <w:p>
      <w:r>
        <w:t>Each kernel ran across several problem sizes, in both FP32 and FP64, timed with CUDA events rather than wall-clock time so host-side Python overhead around the kernel launch wouldn't be included: five warmup calls discarded, then twenty further calls averaged.</w:t>
      </w:r>
    </w:p>
    <w:p>
      <w:r>
        <w:t>Unlike F-DATA, these kernels have a regime known in advance by construction: vector_add and dot_product are memory-bound at any problem size, and gemm should move toward compute-bound as the matrix size grows, since its FLOPs scale with the cube of the dimension against memory traffic that only scales with the square. The classification logic recovered exactly that in every run — vector_add and dot_product classified memory-bound in 8 of 8 runs at both precisions, and the largest gemm (8192×8192) classified compute-bound, reaching 75.8 percent of the FP32 peak and 100.0 percent of the FP64 peak. That FP64 figure isn't a typo: the crippled consumer FP64 rate is low enough that a modestly sized GEMM saturates it easily. Because these kernels' true regime is known independently rather than only cross-checked against a dataset's own label, this is a stronger validation of the Roofline construction than notebook 03's 99.9931 percent pclass agreement was.</w:t>
      </w:r>
    </w:p>
    <w:p>
      <w:pPr>
        <w:jc w:val="center"/>
      </w:pPr>
      <w:r>
        <w:drawing>
          <wp:inline xmlns:a="http://schemas.openxmlformats.org/drawingml/2006/main" xmlns:pic="http://schemas.openxmlformats.org/drawingml/2006/picture">
            <wp:extent cx="5029200" cy="4300330"/>
            <wp:docPr id="15" name="Picture 15"/>
            <wp:cNvGraphicFramePr>
              <a:graphicFrameLocks noChangeAspect="1"/>
            </wp:cNvGraphicFramePr>
            <a:graphic>
              <a:graphicData uri="http://schemas.openxmlformats.org/drawingml/2006/picture">
                <pic:pic>
                  <pic:nvPicPr>
                    <pic:cNvPr id="0" name="nb04_cell10_img1.png"/>
                    <pic:cNvPicPr/>
                  </pic:nvPicPr>
                  <pic:blipFill>
                    <a:blip r:embed="rId23"/>
                    <a:stretch>
                      <a:fillRect/>
                    </a:stretch>
                  </pic:blipFill>
                  <pic:spPr>
                    <a:xfrm>
                      <a:off x="0" y="0"/>
                      <a:ext cx="5029200" cy="4300330"/>
                    </a:xfrm>
                    <a:prstGeom prst="rect"/>
                  </pic:spPr>
                </pic:pic>
              </a:graphicData>
            </a:graphic>
          </wp:inline>
        </w:drawing>
      </w:r>
    </w:p>
    <w:p>
      <w:pPr>
        <w:jc w:val="center"/>
      </w:pPr>
      <w:r>
        <w:rPr>
          <w:i/>
          <w:sz w:val="20"/>
        </w:rPr>
        <w:t>Figure 5.4. RTX 3090 measured Roofline, FP32. Achieved performance for all four kernels across their tested problem sizes, against the 35.58 TFLOP/s compute-bound ceiling and the 936.2 GB/s memory-bound line.</w:t>
      </w:r>
    </w:p>
    <w:p>
      <w:pPr>
        <w:jc w:val="center"/>
      </w:pPr>
      <w:r>
        <w:drawing>
          <wp:inline xmlns:a="http://schemas.openxmlformats.org/drawingml/2006/main" xmlns:pic="http://schemas.openxmlformats.org/drawingml/2006/picture">
            <wp:extent cx="5029200" cy="4306572"/>
            <wp:docPr id="16" name="Picture 16"/>
            <wp:cNvGraphicFramePr>
              <a:graphicFrameLocks noChangeAspect="1"/>
            </wp:cNvGraphicFramePr>
            <a:graphic>
              <a:graphicData uri="http://schemas.openxmlformats.org/drawingml/2006/picture">
                <pic:pic>
                  <pic:nvPicPr>
                    <pic:cNvPr id="0" name="nb04_cell11_img2.png"/>
                    <pic:cNvPicPr/>
                  </pic:nvPicPr>
                  <pic:blipFill>
                    <a:blip r:embed="rId24"/>
                    <a:stretch>
                      <a:fillRect/>
                    </a:stretch>
                  </pic:blipFill>
                  <pic:spPr>
                    <a:xfrm>
                      <a:off x="0" y="0"/>
                      <a:ext cx="5029200" cy="4306572"/>
                    </a:xfrm>
                    <a:prstGeom prst="rect"/>
                  </pic:spPr>
                </pic:pic>
              </a:graphicData>
            </a:graphic>
          </wp:inline>
        </w:drawing>
      </w:r>
    </w:p>
    <w:p>
      <w:pPr>
        <w:jc w:val="center"/>
      </w:pPr>
      <w:r>
        <w:rPr>
          <w:i/>
          <w:sz w:val="20"/>
        </w:rPr>
        <w:t>Figure 5.5. RTX 3090 measured Roofline, FP64. Same construction as Figure 5.4, against FP64's much lower 0.556 TFLOP/s compute-bound ceiling — GEMM saturates it at far smaller matrix sizes than in FP32.</w:t>
      </w:r>
    </w:p>
    <w:p>
      <w:r>
        <w:t>Building this validation surfaced a real finding along the way, not a bug. The first version of the sanity checks failed: vector_add at the smallest FP32 size (1,000,000 elements, an 8-megabyte working set across its two arrays) measured 124.6 percent of the RTX 3090's 936.2 gigabyte-per-second DRAM peak. The same kernel at 2,000,000 elements (16 megabytes) and above measured a normal 83 to 90 percent, so the excess was confined to a single point. The explanation is the GPU's memory hierarchy, not measurement error: the timing harness calls the same kernel on the same tensors twenty times in a row, and GA102's 6-megabyte L2 cache is large enough to serve a meaningful share of an 8-megabyte working set's repeated accesses, so the achieved rate reflects a blend of cache and DRAM bandwidth rather than DRAM alone. dot_product at the identical working set didn't show the same excess (54.8 percent of peak), which ruled out working-set size alone as the explanation — the specific memory-access pattern matters too, and a reduction kernel apparently doesn't benefit from repeated-call cache residency the way a straightforward elementwise write does. I fixed this by adding a working-set-size field to each kernel result and excluding rows within twice the L2 cache size from the DRAM-bandwidth check, a carve-out justified by the specific row it was built to explain rather than a tolerance loosened until the assertion stopped failing.</w:t>
      </w:r>
    </w:p>
    <w:p>
      <w:r>
        <w:t>This ties directly back to why Yang et al. 2019's Hierarchical Roofline, cited for F-DATA's methodology in the previous section, models multiple bandwidth levels — L1, L2, device memory, system memory — rather than a single DRAM figure. A roofline built against DRAM bandwidth alone is exactly the kind of model a small, cache-friendly problem can appear to violate, when what actually happened is the problem ran against a faster level of the memory hierarchy instead. F-DATA's own Roofline used a single measured bandwidth field and couldn't have caught this the way a controlled microbenchmark can — worth remembering when reading Section 5.4's ceiling as if it captured the whole hierarchy, since it doesn't.</w:t>
      </w:r>
    </w:p>
    <w:p>
      <w:r>
        <w:t>The scope limitation from Decision #16 applies exactly as it does elsewhere in this thesis: this workstation's RTX 3090 is neither Fugaku's A64FX nor Marconi100's V100s, so nothing here is a hardware-matched ceiling for either dataset. What it validates is the construction — does a real, measured achieved-performance-versus-intensity relationship take the shape the Roofline theory predicts, on hardware where the correct answer is known in advance. This notebook is self-contained and doesn't feed into any other notebook; per the plan's descope ordering it was flagged as the easiest clean cut if the timeline runs short, since dropping it wouldn't block anything else, but it stayed in scope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