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organized by the chapter each section is expected to land in. None of this is final prose (line numbers, wording, and even section order will change once the surrounding chapters exist),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(March 2021 through April 2024 with no gaps)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with no GPU field to speak of in F-DATA,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it is the only one available.</w:t>
      </w:r>
    </w:p>
    <w:p>
      <w:r>
        <w:t>avgpcon needed a closer look before I trusted it as a target. Its documented name, average node power consumption, implies a single node's draw, but the maximum value in a 5,000-row sample was 259,097 watts,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Both measure a job's total power draw, summed across every node it used, not a single node's reading. Section 4.4 confirmed this directly for node_power_consumption, by dividing each job's mean power by its allocated node count and finding the result holds close to constant, 677–732 watts, across node counts from 1 to 32.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050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050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5211"/>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5211"/>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1200"/>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1200"/>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3203"/>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3203"/>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57473"/>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57473"/>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663161"/>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663161"/>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678070"/>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678070"/>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Coverage is high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original thesis proposal called for reducing it with PCA to "a handful of components." I had originally set that handful to 10 without checking what fraction of the embedding's variance 10 components actually capture.</w:t>
      </w:r>
    </w:p>
    <w:p>
      <w:r>
        <w:t>It turned out to be 68 percent on a single month's data,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(for the tree-based models and for the neural network architectures alike)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4.2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(impute and move on)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(values like [763] or [878]),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(PM100's top five account for 45.4 percent of all completed jobs, F-DATA's top five for 41.4 percent in a five-month sample),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(along with the raw req_nodes and threads_per_core columns)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(its minority value spans 21 users with a 39.2 percent top-user share, above F-DATA's own baseline concentration of 16.0 percent but well short of PM100's excluded flags)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(completed, failed, cancelled, timeout, out-of-memory, and node failure) and excludes a notably larger 21.0 percent. That gap between the two systems' failure rates is itself worth stating explicitly rather than treating the two datasets as symmetric on this point.</w:t>
      </w:r>
    </w:p>
    <w:p>
      <w:r>
        <w:br w:type="page"/>
      </w:r>
    </w:p>
    <w:p>
      <w:pPr>
        <w:pStyle w:val="Heading1"/>
      </w:pPr>
      <w:r>
        <w:t>Chapter 4 (partial): Methodology</w:t>
      </w:r>
    </w:p>
    <w:p>
      <w:r>
        <w:t>This chapter covers how the work in this thesis was built, set up, and validated: the computing environment, the memory constraints that shaped the data-loading strategy, the notebook-execution tooling, and the construction and validation of the two analytical baselines. Model architectures and training procedures for the classical ML, deep learning, and hybrid models will be added here once that work exists; this is not the complete chapter.</w:t>
      </w:r>
    </w:p>
    <w:p>
      <w:pPr>
        <w:pStyle w:val="Heading2"/>
      </w:pPr>
      <w:r>
        <w:t>4.1 Computing Environment</w:t>
      </w:r>
    </w:p>
    <w:p>
      <w:r>
        <w:t>Work on this thesis began on a single workstation with an Intel i9-10900X (10 cores, 20 threads), 125 gigabytes of RAM, and one NVIDIA RTX 3090. It moved partway through to a replacement machine, an Intel i9-10980XE with 18 cores and 36 threads, 251 gigabytes of RAM, and four NVIDIA RTX 3090 Ti cards, because the original's memory could not hold F-DATA's embedding matrix at full scale and a single GPU bottlenecks the later deep-learning stage. Every full-scale result reported here was produced on the replacement machine, and the microbenchmark validation of Section 4.5 was re-measured on one of its RTX 3090 Ti cards.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4.2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4.3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power sampled roughly every 20 seconds for the duration of the job, which is exactly the kind of sequence data the LSTM and TCN architectures later in this chapter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r>
        <w:t>Sections 4.4 and 4.5 are one methodological thread, not two separate topics. F-DATA's Roofline ceiling in 4.4 is built entirely from the dataset's own reported FLOP and bandwidth counters, which leaves the construction itself unverified: does the ceiling formula and its compute/memory-bound classification actually recover the right answer, on hardware where the right answer is independently known, rather than only looking plausible because the same source produced both the inputs and the label it's checked against? Section 4.5 exists to answer exactly that, using controlled GPU kernels timed directly on this workstation rather than F-DATA's self-reported figures. 4.4 describes what was built; 4.5 describes why it can be trusted. The actual outcomes of both (the R² and MAPE numbers, the calibrated coefficients, the classification results) are reported afterward, in Chapter 5.</w:t>
      </w:r>
    </w:p>
    <w:p>
      <w:pPr>
        <w:pStyle w:val="Heading2"/>
      </w:pPr>
      <w:r>
        <w:t>4.4 Analytical Baseline Construction</w:t>
      </w:r>
    </w:p>
    <w:p>
      <w:r>
        <w:t>Notebook 03 built the two analytical baselines this study needs: a Hierarchical Roofline model for F-DATA (Yang et al. 2019), and a calibrated resource-utilization power model for PM100. The two datasets need different treatments here, not just different numbers: F-DATA has the hardware performance counters Roofline requires, and PM100 does not, a distinction established already in Section 3.1.</w:t>
      </w:r>
    </w:p>
    <w:p>
      <w:r>
        <w:t>Notebook 03 was first developed and run on a six-month slice of F-DATA: the consecutive files from March through August 2021, rather than the scattered-month sampling notebooks 01 and 02 used at that point. A chronological train/test split only makes sense across a contiguous span of time, and six scattered months would not have provided one. That six-month slice held 2,897,734 F-DATA rows; the completed-jobs filter from Section 3.6 removed 10.5 percent of them, leaving 2,593,124. PM100 was loaded in full, as everywhere else in this thesis: 231,238 rows, 22.0 percent removed by the same filter, leaving 180,310.</w:t>
      </w:r>
    </w:p>
    <w:p>
      <w:r>
        <w:t>The chronological split was implemented here for the first time and then reused unchanged by every later notebook. Submission time is sorted, the 70th percentile becomes the boundary, jobs before it train and jobs after it test, with the boundary computed as a quantile rather than hand-picked. On the six-month F-DATA slice the boundary fell on July 1, 2021, giving 1,815,596 training and 777,528 test rows. On PM100 it fell on September 19, 2020, giving 126,217 training and 54,093 test rows. The split lives in a shared module, so every model in this thesis is measured against the same boundary.</w:t>
      </w:r>
    </w:p>
    <w:p>
      <w:r>
        <w:t>F-DATA's Roofline ceiling comes from the A64FX processor's published specifications: 3.3792 teraFLOP/s double-precision peak and 1024 gigabytes per second of peak HBM2 bandwidth, both per node. I checked two things directly against the data before trusting the ceiling, rather than taking them from the column documentation. The first is that opint, F-DATA's own operational-intensity field, equals flops divided by mbwidth. It does, exactly, to a relative error of 0.00e+00 on the six-month slice, so F-DATA's authors precompute it and it does not need recomputing. The second is that flops and mbwidth are job-wide totals rather than per-node figures, the same question Section 3.2 raised about avgpcon. On the six-month slice, 977 jobs exceeded the A64FX's single-node peak FLOP/s when node count was ignored, and none exceeded it once each job's rate was divided by its node count. Both fields are job-wide totals, so the ceiling is scaled by each job's node count before any comparison.</w:t>
      </w:r>
    </w:p>
    <w:p>
      <w:r>
        <w:t>I later re-ran the notebook across all 38 months of F-DATA on the replacement workstation described in Section 4.1. At that scale the completed-jobs filter removed 9.9 percent of 25,866,900 rows, leaving 23,308,381, split 70/30 by submission time into 16,315,867 training and 6,992,514 test rows. The two direct checks above were repeated on the full population and held: opint matched flops divided by mbwidth exactly across all 23,308,381 jobs, and no job exceeded the per-node compute peak after scaling by node count. Every Roofline number reported in Chapter 5, including its accuracy against held-out execution time, comes from this full-scale run. The six-month figures above describe only the development slice the construction was built and debugged on.</w:t>
      </w:r>
    </w:p>
    <w:p>
      <w:r>
        <w:t>PM100 has no FLOP, instruction, or performance-counter field anywhere in its schema (confirmed directly against documentation/job_features.md, not assumed from the absence noted in Section 3.1), so no Roofline variant is computable there. This section builds a calibrated power model instead,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2" name="Picture 12"/>
            <wp:cNvGraphicFramePr>
              <a:graphicFrameLocks noChangeAspect="1"/>
            </wp:cNvGraphicFramePr>
            <a:graphic>
              <a:graphicData uri="http://schemas.openxmlformats.org/drawingml/2006/picture">
                <pic:pic>
                  <pic:nvPicPr>
                    <pic:cNvPr id="0" name="nb03_cell19_img2.png"/>
                    <pic:cNvPicPr/>
                  </pic:nvPicPr>
                  <pic:blipFill>
                    <a:blip r:embed="rId20"/>
                    <a:stretch>
                      <a:fillRect/>
                    </a:stretch>
                  </pic:blipFill>
                  <pic:spPr>
                    <a:xfrm>
                      <a:off x="0" y="0"/>
                      <a:ext cx="5029200" cy="3204882"/>
                    </a:xfrm>
                    <a:prstGeom prst="rect"/>
                  </pic:spPr>
                </pic:pic>
              </a:graphicData>
            </a:graphic>
          </wp:inline>
        </w:drawing>
      </w:r>
    </w:p>
    <w:p>
      <w:pPr>
        <w:jc w:val="center"/>
      </w:pPr>
      <w:r>
        <w:rPr>
          <w:i/>
          <w:sz w:val="20"/>
        </w:rPr>
        <w:t>Figure 4.1. PM100's mean node_power_consumption divided by allocated node count, for jobs at each node count from 1 to 32. A per-node reading would not need this division to stay flat across scales.</w:t>
      </w:r>
    </w:p>
    <w:p>
      <w:r>
        <w:t>Before fitting anything, I checked how the model's four predictors (allocated nodes, cores, GPUs, and memory) relate to each other, since Marconi100 assigns cores, GPUs, and memory to a job in close to a fixed ratio per node. They are correlated with each other at 0.85 to 0.97 across every pair. That is worth knowing before looking at the calibrated coefficients, reported in Chapter 5, not after.</w:t>
      </w:r>
    </w:p>
    <w:p>
      <w:r>
        <w:t>F-DATA's Roofline baseline and PM100's power model are not directly comparable to each other: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in Chapter 5 was trusted.</w:t>
      </w:r>
    </w:p>
    <w:p>
      <w:r>
        <w:t>Two things are deferred past this notebook. The rolling-window temporal-drift check across F-DATA's full span, training on one window and testing on the next while sliding forward, is separate from the single chronological split used here and has not been run. And the baselines built here, Roofline and the naive median for F-DATA and the calibrated power model for PM100, are meant to be reused in the full evaluation sweep planned for notebook 08, in the same comparison tables as the random forest, gradient-boosted tree, feedforward, recurrent, and hybrid models covered in later chapters.</w:t>
      </w:r>
    </w:p>
    <w:p>
      <w:pPr>
        <w:pStyle w:val="Heading2"/>
      </w:pPr>
      <w:r>
        <w:t>4.5 Microbenchmark Validation Methodology</w:t>
      </w:r>
    </w:p>
    <w:p>
      <w:r>
        <w:t>Section 4.3 raised this question without answering it. This section answers it directly: Notebook 04 is a small, self-contained side-study, independent of F-DATA and PM100 entirely, that runs a handful of GPU kernels locally, times them directly, and checks whether the same Roofline construction recovers the right answer on hardware where the right answer is known in advance rather than merely self-reported.</w:t>
      </w:r>
    </w:p>
    <w:p>
      <w:r>
        <w:t>It runs on the replacement workstation's own RTX 3090 Ti, confirmed directly rather than assumed: a full GA102 die, 84 streaming multiprocessors, compute capability 8.6, 25.3 gigabytes of memory. Published specs put its double-precision peak at 0.625 teraFLOP/s and its single-precision peak at 40.0 teraFLOP/s (consumer Ampere runs FP64 at 1/64 the FP32 rate, a restriction a datacenter part like the A100 doesn't share), and its memory bandwidth at 1008 gigabytes per second across a 384-bit GDDR6X bus clocked at 21 gigabits per second. The original workstation's plain RTX 3090 put these at 35.58 and 0.556 teraFLOP/s and 936.2 gigabytes per second; the first run of this validation used those figures.</w:t>
      </w:r>
    </w:p>
    <w:p>
      <w:r>
        <w:t>NAS Parallel Benchmarks and Rodinia's kernel suite were the natural source material for this side-study, following Konstantinidis et al. 2017's microbenchmark-based Roofline approach. Neither suite was actually compiled and run here; four standard operations implemented directly in PyTorch substitute for them: vector_add (SAXPY/DAXPY), dot_product, gemv (matrix-vector multiply), and gemm (matrix-matrix multiply). These four were chosen to span the same low-to-high arithmetic-intensity range Rodinia's kernels do, in less time than standing up an external C/CUDA build. None of these four resemble anything in F-DATA's actual job mix, and that's not an oversight: this notebook validates the Roofline construction itself, not F-DATA's workload characteristics, and validating a construction requires kernels whose FLOP count and byte count are known exactly, so their true compute- or memory-bound regime is known in advance. F-DATA's own jobs offer no such independent ground truth, only the dataset's own precomputed pclass label, which risks confirming the same method it's meant to check rather than testing it against something external. Konstantinidis et al. 2017's own approach uses this same logic: synthetic, controlled kernels trace a GPU's achievable-performance curve independent of whatever workload eventually runs against it. Dense linear algebra isn't an arbitrary stand-in either (GEMM and GEMV underlie a large share of real scientific computing, including several NAS Parallel Benchmarks kernels from Bailey et al. 1991), but no claim is made that these four kernels reproduce F-DATA's actual jobs; that would need profiling real F-DATA-representative application code, which is out of scope here.</w:t>
      </w:r>
    </w:p>
    <w:p>
      <w:r>
        <w:t>Each kernel ran across several problem sizes, in both FP32 and FP64, timed with CUDA events rather than wall-clock time so host-side Python overhead around the kernel launch wouldn't be included: five warmup calls discarded, then twenty further calls averaged.</w:t>
      </w:r>
    </w:p>
    <w:p>
      <w:r>
        <w:t>Building this validation surfaced a real finding along the way, not a bug. The first version of the sanity checks failed: vector_add at the smallest FP32 size (1,000,000 elements, an 8-megabyte working set across its two arrays) measured 115.1 percent of the RTX 3090 Ti's 1008 gigabyte-per-second DRAM peak. The same kernel at 5,000,000 elements (40 megabytes) and above measured a normal 87 to 90 percent, so the excess was confined to a single point. On the original RTX 3090 the same measurement came out at 124.6 percent of that card's lower 936.2 gigabyte-per-second peak: a larger excess, because the L2 cache's fixed contribution is a bigger fraction of a smaller denominator. The explanation is the GPU's memory hierarchy, not measurement error: the timing harness calls the same kernel on the same tensors twenty times in a row, and GA102's 6-megabyte L2 cache is large enough to serve a meaningful share of an 8-megabyte working set's repeated accesses, so the achieved rate reflects a blend of cache and DRAM bandwidth rather than DRAM alone. dot_product at the identical working set didn't show the same excess (52.9 percent of peak), and FP64 vector_add at the same element count (a 16-megabyte working set, twice the bytes) didn't either (82.9 percent), which ruled out working-set size alone as the explanation. The specific memory-access pattern matters too: a reduction kernel apparently doesn't benefit from repeated-call cache residency the way a straightforward elementwise write does. I fixed this by adding a working-set-size field to each kernel result and excluding rows within twice the L2 cache size from the DRAM-bandwidth check, a carve-out justified by the specific row it was built to explain rather than a tolerance loosened until the assertion stopped failing.</w:t>
      </w:r>
    </w:p>
    <w:p>
      <w:r>
        <w:t>This ties directly back to why Yang et al. 2019's Hierarchical Roofline, introduced in Section 4.4, models multiple bandwidth levels (L1, L2, device memory, system memory) rather than a single DRAM figure. A roofline built against DRAM bandwidth alone is exactly the kind of model a small, cache-friendly problem can appear to violate, when what actually happened is the problem ran against a faster level of the memory hierarchy instead. F-DATA's own Roofline used a single measured bandwidth field and couldn't have caught this the way a controlled microbenchmark can; it is worth remembering when reading Section 4.4's ceiling as if it captured the whole hierarchy, since it doesn't.</w:t>
      </w:r>
    </w:p>
    <w:p>
      <w:r>
        <w:t>The same scope limitation stated for F-DATA's own Roofline applies here too, for the same reason: this workstation's RTX 3090 Ti is neither Fugaku's A64FX nor Marconi100's V100s, so nothing here is a hardware-matched ceiling for either dataset. What it validates is the construction: does a real, measured achieved-performance-versus-intensity relationship take the shape the Roofline theory predicts, on hardware where the correct answer is known in advance. This notebook is self-contained and doesn't feed into any other notebook, which made it the cheapest piece of this work to have cut entirely had time run short elsewhere. It didn't, so it stayed in scope.</w:t>
      </w:r>
    </w:p>
    <w:p>
      <w:r>
        <w:br w:type="page"/>
      </w:r>
    </w:p>
    <w:p>
      <w:pPr>
        <w:pStyle w:val="Heading1"/>
      </w:pPr>
      <w:r>
        <w:t>Chapter 5 (partial): Results</w:t>
      </w:r>
    </w:p>
    <w:p>
      <w:r>
        <w:t>This chapter reports what the methodology in Chapter 4 actually produced: the analytical baselines' accuracy against held-out data, the microbenchmark validation's classification results, and the classical machine-learning baselines for execution time, power, and memory. Deep-learning and hybrid-model results will be added once notebooks 06 through 09 exist; this is not yet the complete chapter.</w:t>
      </w:r>
    </w:p>
    <w:p>
      <w:pPr>
        <w:pStyle w:val="Heading2"/>
      </w:pPr>
      <w:r>
        <w:t>5.1 Analytical Baseline Results</w:t>
      </w:r>
    </w:p>
    <w:p>
      <w:pPr>
        <w:jc w:val="center"/>
      </w:pPr>
      <w:r>
        <w:drawing>
          <wp:inline xmlns:a="http://schemas.openxmlformats.org/drawingml/2006/main" xmlns:pic="http://schemas.openxmlformats.org/drawingml/2006/picture">
            <wp:extent cx="5029200" cy="4300330"/>
            <wp:docPr id="13" name="Picture 13"/>
            <wp:cNvGraphicFramePr>
              <a:graphicFrameLocks noChangeAspect="1"/>
            </wp:cNvGraphicFramePr>
            <a:graphic>
              <a:graphicData uri="http://schemas.openxmlformats.org/drawingml/2006/picture">
                <pic:pic>
                  <pic:nvPicPr>
                    <pic:cNvPr id="0" name="nb03_cell12_img1.png"/>
                    <pic:cNvPicPr/>
                  </pic:nvPicPr>
                  <pic:blipFill>
                    <a:blip r:embed="rId21"/>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23,308,381 completed jobs across all 38 months.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99.974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-0.164 and a MAPE of 99.98 percent. A naive baseline (each job's own user's median duration over their training-period jobs, falling back to the training-period global median for users with no training history) scored an R² of 0.080 and a MAPE of 8,369 percent on the same split. The Roofline figure being negative is not a bug in the baseline. The Roofline ceiling assumes a job spends its entire wall-clock duration running at peak achievable rate, with no time lost to I/O, synchronization, or any other non-compute phase, so its predicted durations come out roughly five orders of magnitude below actual ones: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(F-DATA's minimum recorded duration is 1 second)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The power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in Section 4.4, which is a reasonable plausibility check on the fit. The GPU and memory coefficients coming out negative is physically backwards for resources that should only add to a node's power draw, and the correlation checked in that same section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5.2.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across the full F-DATA span and the full PM100 dataset. The model's predictions are trustworthy on this evidence; its individual coefficients, for the reason given above, are not.</w:t>
      </w:r>
    </w:p>
    <w:p>
      <w:pPr>
        <w:pStyle w:val="Heading2"/>
      </w:pPr>
      <w:r>
        <w:t>5.2 Microbenchmark Validation Results</w:t>
      </w:r>
    </w:p>
    <w:p>
      <w:r>
        <w:t>Unlike F-DATA, the RTX 3090 Ti kernels described in Section 4.5 have a regime known in advance by construction: vector_add and dot_product are memory-bound at any problem size, and gemm should move toward compute-bound as the matrix size grows, since its FLOPs scale with the cube of the dimension against memory traffic that only scales with the square. The classification logic recovered exactly that in every run: vector_add and dot_product classified memory-bound in 8 of 8 runs at both precisions, and the largest gemm (8192×8192) classified compute-bound, reaching 74.7 percent of the FP32 peak and 95.1 percent of the FP64 peak. The crippled consumer FP64 rate is low enough that a modestly sized GEMM nearly saturates it. Because these kernels' true regime is known independently rather than only cross-checked against a dataset's own label, this is a stronger validation of the Roofline construction than the F-DATA Roofline's own 99.974 percent pclass agreement in Section 5.1 was.</w:t>
      </w:r>
    </w:p>
    <w:p>
      <w:pPr>
        <w:jc w:val="center"/>
      </w:pPr>
      <w:r>
        <w:drawing>
          <wp:inline xmlns:a="http://schemas.openxmlformats.org/drawingml/2006/main" xmlns:pic="http://schemas.openxmlformats.org/drawingml/2006/picture">
            <wp:extent cx="5029200" cy="4300330"/>
            <wp:docPr id="15" name="Picture 15"/>
            <wp:cNvGraphicFramePr>
              <a:graphicFrameLocks noChangeAspect="1"/>
            </wp:cNvGraphicFramePr>
            <a:graphic>
              <a:graphicData uri="http://schemas.openxmlformats.org/drawingml/2006/picture">
                <pic:pic>
                  <pic:nvPicPr>
                    <pic:cNvPr id="0" name="nb04_cell10_img1.png"/>
                    <pic:cNvPicPr/>
                  </pic:nvPicPr>
                  <pic:blipFill>
                    <a:blip r:embed="rId23"/>
                    <a:stretch>
                      <a:fillRect/>
                    </a:stretch>
                  </pic:blipFill>
                  <pic:spPr>
                    <a:xfrm>
                      <a:off x="0" y="0"/>
                      <a:ext cx="5029200" cy="4300330"/>
                    </a:xfrm>
                    <a:prstGeom prst="rect"/>
                  </pic:spPr>
                </pic:pic>
              </a:graphicData>
            </a:graphic>
          </wp:inline>
        </w:drawing>
      </w:r>
    </w:p>
    <w:p>
      <w:pPr>
        <w:jc w:val="center"/>
      </w:pPr>
      <w:r>
        <w:rPr>
          <w:i/>
          <w:sz w:val="20"/>
        </w:rPr>
        <w:t>Figure 5.3. RTX 3090 Ti measured Roofline, FP32. Achieved performance for all four kernels across their tested problem sizes, against the 40.0 TFLOP/s compute-bound ceiling and the 1008 GB/s memory-bound line.</w:t>
      </w:r>
    </w:p>
    <w:p>
      <w:pPr>
        <w:jc w:val="center"/>
      </w:pPr>
      <w:r>
        <w:drawing>
          <wp:inline xmlns:a="http://schemas.openxmlformats.org/drawingml/2006/main" xmlns:pic="http://schemas.openxmlformats.org/drawingml/2006/picture">
            <wp:extent cx="5029200" cy="4306572"/>
            <wp:docPr id="16" name="Picture 16"/>
            <wp:cNvGraphicFramePr>
              <a:graphicFrameLocks noChangeAspect="1"/>
            </wp:cNvGraphicFramePr>
            <a:graphic>
              <a:graphicData uri="http://schemas.openxmlformats.org/drawingml/2006/picture">
                <pic:pic>
                  <pic:nvPicPr>
                    <pic:cNvPr id="0" name="nb04_cell11_img2.png"/>
                    <pic:cNvPicPr/>
                  </pic:nvPicPr>
                  <pic:blipFill>
                    <a:blip r:embed="rId24"/>
                    <a:stretch>
                      <a:fillRect/>
                    </a:stretch>
                  </pic:blipFill>
                  <pic:spPr>
                    <a:xfrm>
                      <a:off x="0" y="0"/>
                      <a:ext cx="5029200" cy="4306572"/>
                    </a:xfrm>
                    <a:prstGeom prst="rect"/>
                  </pic:spPr>
                </pic:pic>
              </a:graphicData>
            </a:graphic>
          </wp:inline>
        </w:drawing>
      </w:r>
    </w:p>
    <w:p>
      <w:pPr>
        <w:jc w:val="center"/>
      </w:pPr>
      <w:r>
        <w:rPr>
          <w:i/>
          <w:sz w:val="20"/>
        </w:rPr>
        <w:t>Figure 5.4. RTX 3090 Ti measured Roofline, FP64. Same construction as Figure 5.3, against FP64's much lower 0.625 TFLOP/s compute-bound ceiling. GEMM saturates it at far smaller matrix sizes than in FP32.</w:t>
      </w:r>
    </w:p>
    <w:p>
      <w:pPr>
        <w:pStyle w:val="Heading2"/>
      </w:pPr>
      <w:r>
        <w:t>5.3 Classical Machine-Learning Baselines: Execution Time and Power</w:t>
      </w:r>
    </w:p>
    <w:p>
      <w:r>
        <w:t>Notebook 05 fits three tree-ensemble models, a random forest and the gradient-boosted libraries XGBoost and LightGBM, against F-DATA's execution time and PM100's power, using only submission-time (Tier A) features. Each model gets the same fixed search budget: a 50-trial Optuna sweep over its own hyperparameters, tuned on a chronological validation carve-out that never touches the test split. Targets are fit in log1p space and metrics are reported back in raw units. For F-DATA the sweep runs on a one-million-row sample stratified by job size, and the final model is refit on the full 16,315,867-row training split, except the random forest, which is capped at five million rows for the final fit alone (a disclosed deviation: sklearn's forest has no GPU path and gains little past a few million rows). PM100's training split is already smaller than that sample would be, so it is used in full. The naive per-user-median baseline from Section 5.1 carries over as the floor.</w:t>
      </w:r>
    </w:p>
    <w:p>
      <w:r>
        <w:t>On F-DATA execution time, with a five-job rolling mean of each user's recent durations as the one historical feature, all three models clear both analytical baselines on R² by a wide margin. LightGBM leads at 0.824, XGBoost follows at 0.815, and the random forest trails at 0.771, against the naive baseline's 0.080 and the Roofline ceiling's -0.164 from Section 5.1. The random forest reaching only 0.771 despite roughly ten times the tuning wall-clock time of either boosted library is worth stating plainly: the extra search budget did not buy a better model here. MAPE tells a different story, and the disagreement is real rather than a reporting quirk. Roofline's MAPE of 99.98 percent beats all three ML models, which land between 1,888 and 2,133 percent, even though Roofline loses badly on R². MAPE is dominated by the many short jobs where a small absolute miss is a large percentage; R² and RMSE are dominated by the few very long jobs. Neither metric is wrong, and this thesis reports both rather than choosing whichever one flatters a given model.</w:t>
      </w:r>
    </w:p>
    <w:p>
      <w:r>
        <w:t>Widening that historical feature helps. Adding 20-job and 50-job rolling means alongside the 5-job one and refitting at the same tuned hyperparameters lifts every model on every metric: XGBoost to 0.836, LightGBM to 0.831, the random forest to 0.821, with the share of predictions landing within 20 percent of actual rising by several points to around 61 percent. The best model flips from LightGBM to XGBoost in the process. Because this refit reused hyperparameters tuned with only the 5-job feature present, the gain is a lower bound on what a full re-tune would give.</w:t>
      </w:r>
    </w:p>
    <w:p>
      <w:r>
        <w:t>On PM100 power the three models sit close together, XGBoost and LightGBM both at an R² of 0.924 and the random forest at 0.902, against the naive baseline's 0.096 and the calibrated power model's 0.910 from Section 5.1. The margin over the analytical baseline is real but narrow, unlike the F-DATA duration case; XGBoost's MAPE of 16.6 percent against the calibrated model's 21.8 percent is the clearer separation. Two findings from this run matter beyond the headline numbers. The single feature carrying the most weight in XGBoost is the requested node count, at 61 percent of total signal by SHAP and 70 percent by split gain, which is the same quantity the Section 5.1 calibrated model was hand-built around when it scaled its idle-power term by node count. A hand-derived physical form and a data-driven tree ensemble independently identified the same dominant driver. Separately, an XGBoost model stripped to just the four resource-request fields scores an R² of 0.901 and a MAPE of 20.3 percent, a near-tie with the calibrated model on equivalent inputs. The full model's edge therefore comes from the broader Tier A feature set carrying information the four-field analytical form was never scoped to use, not from trees fitting the request-to-power relationship better than a calibrated linear form does.</w:t>
      </w:r>
    </w:p>
    <w:p>
      <w:r>
        <w:t>Across these two targets the best-performing model is already configuration-dependent: LightGBM for F-DATA duration with the single rolling feature, XGBoost once the wider windows are added, XGBoost for PM100 power. That is worth carrying forward rather than settling on one library as the winner.</w:t>
      </w:r>
    </w:p>
    <w:p>
      <w:pPr>
        <w:pStyle w:val="Heading2"/>
      </w:pPr>
      <w:r>
        <w:t>5.4 Classical Machine-Learning Baselines: Memory, and What mem_req Was Doing</w:t>
      </w:r>
    </w:p>
    <w:p>
      <w:r>
        <w:t>Notebook 05b applies the same structure to memory: F-DATA's mmszu (memory actually used) and PM100's mem_alloc (allocated memory, the only memory field PM100 records). F-DATA's target has a documented fallback to allocated memory for rows where used memory is missing, but used memory has no missing values at all across the 23.3 million completed jobs, so the fallback never fires in practice. Both memory targets were fit with a real 50-trial Optuna sweep per model, no reused hyperparameters. A five-job rolling window won for both, unlike execution time, where the wider windows helped.</w:t>
      </w:r>
    </w:p>
    <w:p>
      <w:r>
        <w:t>On F-DATA memory the ranking is LightGBM at an R² of 0.867, the random forest at 0.825, XGBoost at 0.807. The naive per-user-median baseline scores -0.249 here, worse than simply predicting the global mean, which is the only target in this thesis where the per-user median does that badly. The historical rolling-mean feature accounts for roughly 88 percent of LightGBM's gain over that floor.</w:t>
      </w:r>
    </w:p>
    <w:p>
      <w:r>
        <w:t>PM100 memory needed a longer look, because the first run of it looked wrong in a specific way. With all 17 features present, the random forest's median absolute error was exactly zero and LightGBM's R² reached 0.985. Numbers that clean usually mean a feature is standing in for the target rather than predicting it, and there was an obvious suspect: mem_req, the requested memory, which on a batch-scheduled system is often granted exactly as asked. This is the same concern raised earlier about requested-versus-allocated fields on PM100 power, but sharper, because here the suspect feature could be a copy of the target itself rather than of another feature.</w:t>
      </w:r>
    </w:p>
    <w:p>
      <w:r>
        <w:t>A direct check settled it. Requested memory equals allocated memory exactly on 93.76 percent of test jobs. On the other 6.24 percent, allocation always exceeds the request, by a median of 230 megabytes and a tail out to 58,900. A model that does nothing but echo mem_req to its output scores an R² of 0.705 with no training at all, so most of the 17-feature headline was mechanical rather than learned.</w:t>
      </w:r>
    </w:p>
    <w:p>
      <w:r>
        <w:t>The stripped-feature ablation I had set up to catch exactly this was itself compromised: mem_req was one of its four fields. Rebuilding it cleanly, with requested nodes, requested GPUs, requested cores, and the user's rolling mean of past allocations, mem_req removed entirely, scored an R² of 0.968 with XGBoost. That beats both the contaminated ablation and the full 17-feature model. So mem_req was doing more than failing to help on the hard cases; it was degrading the fit across the board.</w:t>
      </w:r>
    </w:p>
    <w:p>
      <w:r>
        <w:t>Adding the other twelve production features back on top of the clean four made accuracy worse, not better, with median absolute error rising from under one megabyte to about 69. XGBoost's column subsampling keeps drawing weak columns into each tree, which dilutes the one feature that carries real signal. The usable signal on this target sits in exactly four features.</w:t>
      </w:r>
    </w:p>
    <w:p>
      <w:r>
        <w:t>A full 50-trial search specific to the four-feature set moved the result barely at all, from 0.968 to 0.966, so the clean-four advantage is not a tuning artifact. The search surfaced one more thing: the validation metric used during tuning had itself been fooled by mem_req's mechanical echo. The 17-feature model scored a much better tuning-validation error yet did worse on the real test set, and worst of all on the divergent jobs.</w:t>
      </w:r>
    </w:p>
    <w:p>
      <w:r>
        <w:t>The contaminated-versus-clean gap held across all three models in the four-field comparison, with divergent-case R² around 0.73 contaminated against 0.95 clean. A supplementary check with all 17 features found a genuine per-model split, though. The random forest and LightGBM partly recover on the divergent jobs when given the full feature set to lean on; XGBoost does not, and its share of divergent-job predictions within 20 percent of actual collapses to 17.9 percent.</w:t>
      </w:r>
    </w:p>
    <w:p>
      <w:r>
        <w:t>All three models were set to the clean four-field set, mem_req dropped entirely. For XGBoost the case is straightforward. For the random forest and LightGBM it is a deliberate trade: the full feature set gives a higher aggregate R² (0.977 and 0.985 against the clean set's 0.951 and 0.960), but the clean set gives far more reliable accuracy on the roughly 6 percent of jobs where request and allocation diverge, with median absolute error under one megabyte against 35 to 44. Those divergent jobs are exactly what a genuine submission-time predictor is for, so that is where accuracy was prioritised. On the adopted clean-four set, XGBoost is best at an R² of 0.966, LightGBM at 0.960, the random forest at 0.951; the 17-feature set's best had been LightGBM at 0.985.</w:t>
      </w:r>
    </w:p>
    <w:p>
      <w:r>
        <w:t>This is the fourth target-and-dataset pairing in this thesis where the best model changed with the configuration: LightGBM then XGBoost on F-DATA execution time, XGBoost on PM100 power, LightGBM on the 17-feature PM100 memory set, XGBoost on the clean-four set. Best model is a property of the configuration here, not a fixed choice the pipeline can settle once.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