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organized by the chapter each section is expected to land in.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4.4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original thesis proposal called for reducing it with PCA to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4.2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4 (partial): Methodology</w:t>
      </w:r>
    </w:p>
    <w:p>
      <w:r>
        <w:t>This chapter covers how the work in this thesis was built, set up, and validated — the computing environment, the memory constraints that shaped the data-loading strategy, the notebook-execution tooling, and the construction and validation of the two analytical baselines. Model architectures and training procedures for the classical ML, deep learning, and hybrid models will be added here once that work exists; this is not the complete chapter.</w:t>
      </w:r>
    </w:p>
    <w:p>
      <w:pPr>
        <w:pStyle w:val="Heading2"/>
      </w:pPr>
      <w:r>
        <w:t>4.1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4.2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4.3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later in this chapter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r>
        <w:t>Sections 4.4 and 4.5 are one methodological thread, not two separate topics. F-DATA's Roofline ceiling in 4.4 is built entirely from the dataset's own reported FLOP and bandwidth counters, which leaves the construction itself unverified: does the ceiling formula and its compute/memory-bound classification actually recover the right answer, on hardware where the right answer is independently known, rather than only looking plausible because the same source produced both the inputs and the label it's checked against? Section 4.5 exists to answer exactly that, using controlled GPU kernels timed directly on this workstation rather than F-DATA's self-reported figures. 4.4 describes what was built; 4.5 describes why it can be trusted. The actual outcomes of both — the R² and MAPE numbers, the calibrated coefficients, the classification results — are reported afterward, in Chapter 5.</w:t>
      </w:r>
    </w:p>
    <w:p>
      <w:pPr>
        <w:pStyle w:val="Heading2"/>
      </w:pPr>
      <w:r>
        <w:t>4.4 Analytical Baseline Construction</w:t>
      </w:r>
    </w:p>
    <w:p>
      <w:r>
        <w:t>Notebook 03 built the two analytical baselines this study needs: a Hierarchical Roofline model for F-DATA (Yang et al. 2019),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r>
        <w:t>PM100 has no FLOP, instruction, or performance-counter field anywhere in its schema — confirmed directly against documentation/job_features.md, not assumed from the absence noted in Section 3.1 — so no Roofline variant is computable there. This section builds a calibrated power model instead,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2" name="Picture 12"/>
            <wp:cNvGraphicFramePr>
              <a:graphicFrameLocks noChangeAspect="1"/>
            </wp:cNvGraphicFramePr>
            <a:graphic>
              <a:graphicData uri="http://schemas.openxmlformats.org/drawingml/2006/picture">
                <pic:pic>
                  <pic:nvPicPr>
                    <pic:cNvPr id="0" name="nb03_cell19_img2.png"/>
                    <pic:cNvPicPr/>
                  </pic:nvPicPr>
                  <pic:blipFill>
                    <a:blip r:embed="rId20"/>
                    <a:stretch>
                      <a:fillRect/>
                    </a:stretch>
                  </pic:blipFill>
                  <pic:spPr>
                    <a:xfrm>
                      <a:off x="0" y="0"/>
                      <a:ext cx="5029200" cy="3204882"/>
                    </a:xfrm>
                    <a:prstGeom prst="rect"/>
                  </pic:spPr>
                </pic:pic>
              </a:graphicData>
            </a:graphic>
          </wp:inline>
        </w:drawing>
      </w:r>
    </w:p>
    <w:p>
      <w:pPr>
        <w:jc w:val="center"/>
      </w:pPr>
      <w:r>
        <w:rPr>
          <w:i/>
          <w:sz w:val="20"/>
        </w:rPr>
        <w:t>Figure 4.1.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reported in Chapter 5, not after.</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in Chapter 5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p>
      <w:pPr>
        <w:pStyle w:val="Heading2"/>
      </w:pPr>
      <w:r>
        <w:t>4.5 Microbenchmark Validation Methodology</w:t>
      </w:r>
    </w:p>
    <w:p>
      <w:r>
        <w:t>Section 4.3 raised this question without answering it. This section answers it directly: Notebook 04 is a small, self-contained side-study, independent of F-DATA and PM100 entirely, that runs a handful of GPU kernels locally, times them directly, and checks whether the same Roofline construction recovers the right answer on hardware where the right answer is known in advance rather than merely self-reported.</w:t>
      </w:r>
    </w:p>
    <w:p>
      <w:r>
        <w:t>It runs on this workstation's own RTX 3090, confirmed directly rather than assumed: a GA102 die, 82 streaming multiprocessors, compute capability 8.6, 25.29 gigabytes of memory. Published specs put its double-precision peak at 0.556 teraFLOP/s and its single-precision peak at 35.58 teraFLOP/s — consumer Ampere runs FP64 at 1/64 the FP32 rate, a restriction a datacenter part like the A100 doesn't share — and its memory bandwidth at 936.2 gigabytes per second across a 384-bit GDDR6X bus.</w:t>
      </w:r>
    </w:p>
    <w:p>
      <w:r>
        <w:t>NAS Parallel Benchmarks and Rodinia's kernel suite were the natural source material for this side-study, following Konstantinidis et al. 2017's microbenchmark-based Roofline approach. Neither suite was actually compiled and run here; four standard operations implemented directly in PyTorch substitute for them — vector_add (SAXPY/DAXPY), dot_product, gemv (matrix-vector multiply), and gemm (matrix-matrix multiply) —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 GEMM and GEMV underlie a large share of real scientific computing, including several NAS Parallel Benchmarks kernels (Bailey et al. 1991) —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Building this validation surfaced a real finding along the way, not a bug. The first version of the sanity checks failed: vector_add at the smallest FP32 size (1,000,000 elements, an 8-megabyte working set across its two arrays) measured 124.6 percent of the RTX 3090's 936.2 gigabyte-per-second DRAM peak. The same kernel at 2,000,000 elements (16 megabytes) and above measured a normal 83 to 90 percent, so the excess was confined to a single point.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(54.8 percent of peak), which ruled out working-set size alone as the explanation — the specific memory-access pattern matters too, and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introduced in Section 4.4, models multiple bandwidth levels — L1, L2, device memory, system memory —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 worth remembering when reading Section 4.4's ceiling as if it captured the whole hierarchy, since it doesn't.</w:t>
      </w:r>
    </w:p>
    <w:p>
      <w:r>
        <w:t>The same scope limitation stated for F-DATA's own Roofline applies here too, for the same reason: this workstation's RTX 3090 is neither Fugaku's A64FX nor Marconi100's V100s, so nothing here is a hardware-matched ceiling for either dataset. What it validates is the construction — does a real, measured achieved-performance-versus-intensity relationship take the shape the Roofline theory predicts, on hardware where the correct answer is known in advance. This notebook is self-contained and doesn't feed into any other notebook, which made it the cheapest piece of this work to have cut entirely had time run short elsewhere — it didn't, so it stayed in scope.</w:t>
      </w:r>
    </w:p>
    <w:p>
      <w:r>
        <w:br w:type="page"/>
      </w:r>
    </w:p>
    <w:p>
      <w:pPr>
        <w:pStyle w:val="Heading1"/>
      </w:pPr>
      <w:r>
        <w:t>Chapter 5 (partial): Results</w:t>
      </w:r>
    </w:p>
    <w:p>
      <w:r>
        <w:t>This chapter reports what the methodology in Chapter 4 actually produced: the analytical baselines' accuracy against held-out data, and the microbenchmark validation's classification results. Model-training results for the classical ML, deep learning, and hybrid models will be added here once that work exists; this is not the complete chapter.</w:t>
      </w:r>
    </w:p>
    <w:p>
      <w:pPr>
        <w:pStyle w:val="Heading2"/>
      </w:pPr>
      <w:r>
        <w:t>5.1 Analytical Baseline Results</w:t>
      </w:r>
    </w:p>
    <w:p>
      <w:pPr>
        <w:jc w:val="center"/>
      </w:pPr>
      <w:r>
        <w:drawing>
          <wp:inline xmlns:a="http://schemas.openxmlformats.org/drawingml/2006/main" xmlns:pic="http://schemas.openxmlformats.org/drawingml/2006/picture">
            <wp:extent cx="5029200" cy="4300330"/>
            <wp:docPr id="13" name="Picture 13"/>
            <wp:cNvGraphicFramePr>
              <a:graphicFrameLocks noChangeAspect="1"/>
            </wp:cNvGraphicFramePr>
            <a:graphic>
              <a:graphicData uri="http://schemas.openxmlformats.org/drawingml/2006/picture">
                <pic:pic>
                  <pic:nvPicPr>
                    <pic:cNvPr id="0" name="nb03_cell12_img1.png"/>
                    <pic:cNvPicPr/>
                  </pic:nvPicPr>
                  <pic:blipFill>
                    <a:blip r:embed="rId21"/>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The power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in Section 4.4, which is a reasonable plausibility check on the fit. The GPU and memory coefficients coming out negative is physically backwards for resources that should only add to a node's power draw, and the correlation checked in that same section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5.2.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pPr>
        <w:pStyle w:val="Heading2"/>
      </w:pPr>
      <w:r>
        <w:t>5.2 Microbenchmark Validation Results</w:t>
      </w:r>
    </w:p>
    <w:p>
      <w:r>
        <w:t>Unlike F-DATA, the RTX 3090 kernels described in Section 4.5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 vector_add and dot_product classified memory-bound in 8 of 8 runs at both precisions, and the largest gemm (8192×8192) classified compute-bound, reaching 75.8 percent of the FP32 peak and 100.0 percent of the FP64 peak. That FP64 figure isn't a typo: the crippled consumer FP64 rate is low enough that a modestly sized GEMM saturates it easily. Because these kernels' true regime is known independently rather than only cross-checked against a dataset's own label, this is a stronger validation of the Roofline construction than the F-DATA Roofline's own 99.9931 percent pclass agreement in Section 5.1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5.3. RTX 3090 measured Roofline, FP32. Achieved performance for all four kernels across their tested problem sizes, against the 35.58 TFLOP/s compute-bound ceiling and the 936.2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5.4. RTX 3090 measured Roofline, FP64. Same construction as Figure 5.3, against FP64's much lower 0.556 TFLOP/s compute-bound ceiling — GEMM saturates it at far smaller matrix sizes than in FP32.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