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organized by the chapter each section is expected to land in.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 both measure a job's total power draw, summed across every node it used, not a single node's reading. Section 5.4 confirmed this directly for node_power_consumption, by dividing each job's mean power by its allocated node count and finding the result holds close to constant, 677–732 watts, across node counts from 1 to 32 —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The same pattern holds for the other five targets. F-DATA's memory and power, and all three of PM100's targets, show the same near-zero-dominated raw histogram spread into something usable once log1p-transformed.</w:t>
      </w:r>
    </w:p>
    <w:p>
      <w:pPr>
        <w:jc w:val="center"/>
      </w:pPr>
      <w:r>
        <w:drawing>
          <wp:inline xmlns:a="http://schemas.openxmlformats.org/drawingml/2006/main" xmlns:pic="http://schemas.openxmlformats.org/drawingml/2006/picture">
            <wp:extent cx="5029200" cy="1981200"/>
            <wp:docPr id="2" name="Picture 2"/>
            <wp:cNvGraphicFramePr>
              <a:graphicFrameLocks noChangeAspect="1"/>
            </wp:cNvGraphicFramePr>
            <a:graphic>
              <a:graphicData uri="http://schemas.openxmlformats.org/drawingml/2006/picture">
                <pic:pic>
                  <pic:nvPicPr>
                    <pic:cNvPr id="0" name="nb01_cell15_img2.png"/>
                    <pic:cNvPicPr/>
                  </pic:nvPicPr>
                  <pic:blipFill>
                    <a:blip r:embed="rId10"/>
                    <a:stretch>
                      <a:fillRect/>
                    </a:stretch>
                  </pic:blipFill>
                  <pic:spPr>
                    <a:xfrm>
                      <a:off x="0" y="0"/>
                      <a:ext cx="5029200" cy="1981200"/>
                    </a:xfrm>
                    <a:prstGeom prst="rect"/>
                  </pic:spPr>
                </pic:pic>
              </a:graphicData>
            </a:graphic>
          </wp:inline>
        </w:drawing>
      </w:r>
    </w:p>
    <w:p>
      <w:pPr>
        <w:jc w:val="center"/>
      </w:pPr>
      <w:r>
        <w:rPr>
          <w:i/>
          <w:sz w:val="20"/>
        </w:rPr>
        <w:t>Figure 3.5. F-DATA memory (mmszu), raw versus log1p-transformed.</w:t>
      </w:r>
    </w:p>
    <w:p>
      <w:pPr>
        <w:jc w:val="center"/>
      </w:pPr>
      <w:r>
        <w:drawing>
          <wp:inline xmlns:a="http://schemas.openxmlformats.org/drawingml/2006/main" xmlns:pic="http://schemas.openxmlformats.org/drawingml/2006/picture">
            <wp:extent cx="5029200" cy="1983203"/>
            <wp:docPr id="3" name="Picture 3"/>
            <wp:cNvGraphicFramePr>
              <a:graphicFrameLocks noChangeAspect="1"/>
            </wp:cNvGraphicFramePr>
            <a:graphic>
              <a:graphicData uri="http://schemas.openxmlformats.org/drawingml/2006/picture">
                <pic:pic>
                  <pic:nvPicPr>
                    <pic:cNvPr id="0" name="nb01_cell15_img3.png"/>
                    <pic:cNvPicPr/>
                  </pic:nvPicPr>
                  <pic:blipFill>
                    <a:blip r:embed="rId11"/>
                    <a:stretch>
                      <a:fillRect/>
                    </a:stretch>
                  </pic:blipFill>
                  <pic:spPr>
                    <a:xfrm>
                      <a:off x="0" y="0"/>
                      <a:ext cx="5029200" cy="1983203"/>
                    </a:xfrm>
                    <a:prstGeom prst="rect"/>
                  </pic:spPr>
                </pic:pic>
              </a:graphicData>
            </a:graphic>
          </wp:inline>
        </w:drawing>
      </w:r>
    </w:p>
    <w:p>
      <w:pPr>
        <w:jc w:val="center"/>
      </w:pPr>
      <w:r>
        <w:rPr>
          <w:i/>
          <w:sz w:val="20"/>
        </w:rPr>
        <w:t>Figure 3.6. F-DATA power (avgpcon), raw versus log1p-transformed.</w:t>
      </w:r>
    </w:p>
    <w:p>
      <w:pPr>
        <w:jc w:val="center"/>
      </w:pPr>
      <w:r>
        <w:drawing>
          <wp:inline xmlns:a="http://schemas.openxmlformats.org/drawingml/2006/main" xmlns:pic="http://schemas.openxmlformats.org/drawingml/2006/picture">
            <wp:extent cx="5029200" cy="1981200"/>
            <wp:docPr id="4" name="Picture 4"/>
            <wp:cNvGraphicFramePr>
              <a:graphicFrameLocks noChangeAspect="1"/>
            </wp:cNvGraphicFramePr>
            <a:graphic>
              <a:graphicData uri="http://schemas.openxmlformats.org/drawingml/2006/picture">
                <pic:pic>
                  <pic:nvPicPr>
                    <pic:cNvPr id="0" name="nb01_cell16_img4.png"/>
                    <pic:cNvPicPr/>
                  </pic:nvPicPr>
                  <pic:blipFill>
                    <a:blip r:embed="rId12"/>
                    <a:stretch>
                      <a:fillRect/>
                    </a:stretch>
                  </pic:blipFill>
                  <pic:spPr>
                    <a:xfrm>
                      <a:off x="0" y="0"/>
                      <a:ext cx="5029200" cy="1981200"/>
                    </a:xfrm>
                    <a:prstGeom prst="rect"/>
                  </pic:spPr>
                </pic:pic>
              </a:graphicData>
            </a:graphic>
          </wp:inline>
        </w:drawing>
      </w:r>
    </w:p>
    <w:p>
      <w:pPr>
        <w:jc w:val="center"/>
      </w:pPr>
      <w:r>
        <w:rPr>
          <w:i/>
          <w:sz w:val="20"/>
        </w:rPr>
        <w:t>Figure 3.7. PM100 execution time (run_time), raw versus log1p-transformed.</w:t>
      </w:r>
    </w:p>
    <w:p>
      <w:pPr>
        <w:jc w:val="center"/>
      </w:pPr>
      <w:r>
        <w:drawing>
          <wp:inline xmlns:a="http://schemas.openxmlformats.org/drawingml/2006/main" xmlns:pic="http://schemas.openxmlformats.org/drawingml/2006/picture">
            <wp:extent cx="5029200" cy="1981200"/>
            <wp:docPr id="5" name="Picture 5"/>
            <wp:cNvGraphicFramePr>
              <a:graphicFrameLocks noChangeAspect="1"/>
            </wp:cNvGraphicFramePr>
            <a:graphic>
              <a:graphicData uri="http://schemas.openxmlformats.org/drawingml/2006/picture">
                <pic:pic>
                  <pic:nvPicPr>
                    <pic:cNvPr id="0" name="nb01_cell16_img5.png"/>
                    <pic:cNvPicPr/>
                  </pic:nvPicPr>
                  <pic:blipFill>
                    <a:blip r:embed="rId13"/>
                    <a:stretch>
                      <a:fillRect/>
                    </a:stretch>
                  </pic:blipFill>
                  <pic:spPr>
                    <a:xfrm>
                      <a:off x="0" y="0"/>
                      <a:ext cx="5029200" cy="1981200"/>
                    </a:xfrm>
                    <a:prstGeom prst="rect"/>
                  </pic:spPr>
                </pic:pic>
              </a:graphicData>
            </a:graphic>
          </wp:inline>
        </w:drawing>
      </w:r>
    </w:p>
    <w:p>
      <w:pPr>
        <w:jc w:val="center"/>
      </w:pPr>
      <w:r>
        <w:rPr>
          <w:i/>
          <w:sz w:val="20"/>
        </w:rPr>
        <w:t>Figure 3.8. PM100 memory (mem_alloc), raw versus log1p-transformed.</w:t>
      </w:r>
    </w:p>
    <w:p>
      <w:pPr>
        <w:jc w:val="center"/>
      </w:pPr>
      <w:r>
        <w:drawing>
          <wp:inline xmlns:a="http://schemas.openxmlformats.org/drawingml/2006/main" xmlns:pic="http://schemas.openxmlformats.org/drawingml/2006/picture">
            <wp:extent cx="5029200" cy="1981200"/>
            <wp:docPr id="6" name="Picture 6"/>
            <wp:cNvGraphicFramePr>
              <a:graphicFrameLocks noChangeAspect="1"/>
            </wp:cNvGraphicFramePr>
            <a:graphic>
              <a:graphicData uri="http://schemas.openxmlformats.org/drawingml/2006/picture">
                <pic:pic>
                  <pic:nvPicPr>
                    <pic:cNvPr id="0" name="nb01_cell16_img6.png"/>
                    <pic:cNvPicPr/>
                  </pic:nvPicPr>
                  <pic:blipFill>
                    <a:blip r:embed="rId14"/>
                    <a:stretch>
                      <a:fillRect/>
                    </a:stretch>
                  </pic:blipFill>
                  <pic:spPr>
                    <a:xfrm>
                      <a:off x="0" y="0"/>
                      <a:ext cx="5029200" cy="1981200"/>
                    </a:xfrm>
                    <a:prstGeom prst="rect"/>
                  </pic:spPr>
                </pic:pic>
              </a:graphicData>
            </a:graphic>
          </wp:inline>
        </w:drawing>
      </w:r>
    </w:p>
    <w:p>
      <w:pPr>
        <w:jc w:val="center"/>
      </w:pPr>
      <w:r>
        <w:rPr>
          <w:i/>
          <w:sz w:val="20"/>
        </w:rPr>
        <w:t>Figure 3.9. PM100 power (node_power_consumption), raw versus log1p-transformed.</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7" name="Picture 7"/>
            <wp:cNvGraphicFramePr>
              <a:graphicFrameLocks noChangeAspect="1"/>
            </wp:cNvGraphicFramePr>
            <a:graphic>
              <a:graphicData uri="http://schemas.openxmlformats.org/drawingml/2006/picture">
                <pic:pic>
                  <pic:nvPicPr>
                    <pic:cNvPr id="0" name="nb01_cell18_img7.png"/>
                    <pic:cNvPicPr/>
                  </pic:nvPicPr>
                  <pic:blipFill>
                    <a:blip r:embed="rId15"/>
                    <a:stretch>
                      <a:fillRect/>
                    </a:stretch>
                  </pic:blipFill>
                  <pic:spPr>
                    <a:xfrm>
                      <a:off x="0" y="0"/>
                      <a:ext cx="5029200" cy="1708704"/>
                    </a:xfrm>
                    <a:prstGeom prst="rect"/>
                  </pic:spPr>
                </pic:pic>
              </a:graphicData>
            </a:graphic>
          </wp:inline>
        </w:drawing>
      </w:r>
    </w:p>
    <w:p>
      <w:pPr>
        <w:jc w:val="center"/>
      </w:pPr>
      <w:r>
        <w:rPr>
          <w:i/>
          <w:sz w:val="20"/>
        </w:rPr>
        <w:t>Figure 3.10. F-DATA jobs per day across the sampled files.</w:t>
      </w:r>
    </w:p>
    <w:p>
      <w:pPr>
        <w:jc w:val="center"/>
      </w:pPr>
      <w:r>
        <w:drawing>
          <wp:inline xmlns:a="http://schemas.openxmlformats.org/drawingml/2006/main" xmlns:pic="http://schemas.openxmlformats.org/drawingml/2006/picture">
            <wp:extent cx="5029200" cy="1708704"/>
            <wp:docPr id="8" name="Picture 8"/>
            <wp:cNvGraphicFramePr>
              <a:graphicFrameLocks noChangeAspect="1"/>
            </wp:cNvGraphicFramePr>
            <a:graphic>
              <a:graphicData uri="http://schemas.openxmlformats.org/drawingml/2006/picture">
                <pic:pic>
                  <pic:nvPicPr>
                    <pic:cNvPr id="0" name="nb01_cell18_img8.png"/>
                    <pic:cNvPicPr/>
                  </pic:nvPicPr>
                  <pic:blipFill>
                    <a:blip r:embed="rId16"/>
                    <a:stretch>
                      <a:fillRect/>
                    </a:stretch>
                  </pic:blipFill>
                  <pic:spPr>
                    <a:xfrm>
                      <a:off x="0" y="0"/>
                      <a:ext cx="5029200" cy="1708704"/>
                    </a:xfrm>
                    <a:prstGeom prst="rect"/>
                  </pic:spPr>
                </pic:pic>
              </a:graphicData>
            </a:graphic>
          </wp:inline>
        </w:drawing>
      </w:r>
    </w:p>
    <w:p>
      <w:pPr>
        <w:jc w:val="center"/>
      </w:pPr>
      <w:r>
        <w:rPr>
          <w:i/>
          <w:sz w:val="20"/>
        </w:rPr>
        <w:t>Figure 3.11.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On the current dev sample, that rolling average was populated for 4,426 of 4,721 F-DATA jobs (93.8 percent) and 3,717 of 3,952 PM100 jobs (94.1 percent) — high coverage at this scale, but notebook 02 flags it as provisional rather than final: with only a handful of scattered months loaded so far, many of these rolling averages rest on very few prior jobs per user rather than a full window, and both the coverage rate and the values themselves are expected to firm up once more of the dataset is loaded.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original thesis proposal called for reducing it with PCA to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9" name="Picture 9"/>
            <wp:cNvGraphicFramePr>
              <a:graphicFrameLocks noChangeAspect="1"/>
            </wp:cNvGraphicFramePr>
            <a:graphic>
              <a:graphicData uri="http://schemas.openxmlformats.org/drawingml/2006/picture">
                <pic:pic>
                  <pic:nvPicPr>
                    <pic:cNvPr id="0" name="nb02_cell22_img3.png"/>
                    <pic:cNvPicPr/>
                  </pic:nvPicPr>
                  <pic:blipFill>
                    <a:blip r:embed="rId17"/>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5.2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10" name="Picture 10"/>
            <wp:cNvGraphicFramePr>
              <a:graphicFrameLocks noChangeAspect="1"/>
            </wp:cNvGraphicFramePr>
            <a:graphic>
              <a:graphicData uri="http://schemas.openxmlformats.org/drawingml/2006/picture">
                <pic:pic>
                  <pic:nvPicPr>
                    <pic:cNvPr id="0" name="nb02_cell11_img1.png"/>
                    <pic:cNvPicPr/>
                  </pic:nvPicPr>
                  <pic:blipFill>
                    <a:blip r:embed="rId18"/>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11" name="Picture 11"/>
            <wp:cNvGraphicFramePr>
              <a:graphicFrameLocks noChangeAspect="1"/>
            </wp:cNvGraphicFramePr>
            <a:graphic>
              <a:graphicData uri="http://schemas.openxmlformats.org/drawingml/2006/picture">
                <pic:pic>
                  <pic:nvPicPr>
                    <pic:cNvPr id="0" name="nb02_cell17_img2.png"/>
                    <pic:cNvPicPr/>
                  </pic:nvPicPr>
                  <pic:blipFill>
                    <a:blip r:embed="rId19"/>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5 (partial): Experimental Environment and Reproducibility</w:t>
      </w:r>
    </w:p>
    <w:p>
      <w:r>
        <w:t>This chapter's final form will also cover model training details once those exist. The material below documents the computing environment and the memory constraints discovered while building the data pipeline, which belong here regardless of what else the chapter ends up containing.</w:t>
      </w:r>
    </w:p>
    <w:p>
      <w:pPr>
        <w:pStyle w:val="Heading2"/>
      </w:pPr>
      <w:r>
        <w:t>5.1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5.2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5.3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in Chapter 4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pPr>
        <w:pStyle w:val="Heading2"/>
      </w:pPr>
      <w:r>
        <w:t>5.4 Analytical Baselines</w:t>
      </w:r>
    </w:p>
    <w:p>
      <w:r>
        <w:t>Notebook 03 built the two analytical baselines this study needs: a Hierarchical Roofline model for F-DATA, and a calibrated resource-utilization power model for PM100. The two datasets need different treatments here, not just different numbers — F-DATA has the hardware performance counters Roofline requires, and PM100 does not, a distinction established already in Section 3.1.</w:t>
      </w:r>
    </w:p>
    <w:p>
      <w:r>
        <w:t>F-DATA was loaded as six consecutive monthly files, March through August 2021, rather than the scattered-month sampling used in notebooks 01 and 02. The chronological train/test split this notebook needed only makes sense across a real, contiguous span of time, and six scattered months would not have given one. PM100 was loaded in full, as it has been throughout. Both datasets were filtered to completed jobs only, the same filter used since Section 3.6: 10.5 percent of F-DATA's 2,897,734 loaded rows were excluded on this six-month slice, and 22.0 percent of PM100's 231,238 rows. That PM100 figure is measured on this notebook's own six-month window and is not the same measurement as the 21.0 percent reported in Section 3.6 against a different sample — the two numbers are close but come from different slices of the dataset, not from the same computation repeated.</w:t>
      </w:r>
    </w:p>
    <w:p>
      <w:r>
        <w:t>A chronological split was implemented for the first time in this notebook: 70 percent of each dataset's rows by submission time go to training, the remaining 30 percent to testing, with the boundary itself computed as a quantile of submission time rather than hand-picked. For F-DATA that boundary fell on July 1, 2021, giving 1,815,596 training rows and 777,528 test rows. For PM100 it fell on September 19, 2020, giving 126,217 training rows and 54,093 test rows. This split is now implemented once, in a shared module, so every notebook from here forward compares models against the same boundary rather than each picking its own.</w:t>
      </w:r>
    </w:p>
    <w:p>
      <w:r>
        <w:t>F-DATA's Roofline ceiling comes from the A64FX processor's published specifications: 3.3792 teraFLOP/s double-precision peak and 1024 gigabytes/second of peak HBM2 bandwidth, both per node. Before trusting any of this, I checked two things directly against the data rather than assuming them from the column documentation. First, that opint, F-DATA's own operational-intensity field, actually equals flops divided by mbwidth: it does, with a relative error of 0.00e+00 across all 2,593,124 completed jobs in this sample, meaning F-DATA's authors precompute it exactly and I did not need to recompute it myself. Second, that flops and mbwidth are job-wide totals rather than per-node figures, the same question Section 3.2 raised about avgpcon. The check was direct: 977 jobs appear to exceed the A64FX's single-node peak FLOP/s if node count is ignored, but zero jobs exceed it once each job's rate is divided by its node count. Both fields are job-wide totals, so the ceiling applied below is scaled by each job's node count before comparison.</w:t>
      </w:r>
    </w:p>
    <w:p>
      <w:pPr>
        <w:jc w:val="center"/>
      </w:pPr>
      <w:r>
        <w:drawing>
          <wp:inline xmlns:a="http://schemas.openxmlformats.org/drawingml/2006/main" xmlns:pic="http://schemas.openxmlformats.org/drawingml/2006/picture">
            <wp:extent cx="5029200" cy="4300330"/>
            <wp:docPr id="12" name="Picture 12"/>
            <wp:cNvGraphicFramePr>
              <a:graphicFrameLocks noChangeAspect="1"/>
            </wp:cNvGraphicFramePr>
            <a:graphic>
              <a:graphicData uri="http://schemas.openxmlformats.org/drawingml/2006/picture">
                <pic:pic>
                  <pic:nvPicPr>
                    <pic:cNvPr id="0" name="nb03_cell12_img1.png"/>
                    <pic:cNvPicPr/>
                  </pic:nvPicPr>
                  <pic:blipFill>
                    <a:blip r:embed="rId20"/>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2,593,124 completed jobs across the six-month sample.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99.9931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-0.326 and a MAPE of 99.93 percent. A naive baseline — each job's own user's median duration over their training-period jobs, falling back to the training-period global median for users with no training history — scored an R² of -0.096 and a MAPE of 15,770 percent on the same split. Both numbers being negative is not a bug in either baseline. The Roofline ceiling assumes a job spends its entire wall-clock duration running at peak achievable rate, with no time lost to I/O, synchronization, or any other non-compute phase, so its predicted durations come out roughly five orders of magnitude below actual ones —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 F-DATA's minimum recorded duration is 1 second —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PM100 has no FLOP, instruction, or performance-counter field anywhere in its schema — confirmed directly against documentation/job_features.md, not assumed from the absence noted in Section 3.1 — so no Roofline variant is computable there. This section builds a calibrated power model instead,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13" name="Picture 13"/>
            <wp:cNvGraphicFramePr>
              <a:graphicFrameLocks noChangeAspect="1"/>
            </wp:cNvGraphicFramePr>
            <a:graphic>
              <a:graphicData uri="http://schemas.openxmlformats.org/drawingml/2006/picture">
                <pic:pic>
                  <pic:nvPicPr>
                    <pic:cNvPr id="0" name="nb03_cell19_img2.png"/>
                    <pic:cNvPicPr/>
                  </pic:nvPicPr>
                  <pic:blipFill>
                    <a:blip r:embed="rId21"/>
                    <a:stretch>
                      <a:fillRect/>
                    </a:stretch>
                  </pic:blipFill>
                  <pic:spPr>
                    <a:xfrm>
                      <a:off x="0" y="0"/>
                      <a:ext cx="5029200" cy="3204882"/>
                    </a:xfrm>
                    <a:prstGeom prst="rect"/>
                  </pic:spPr>
                </pic:pic>
              </a:graphicData>
            </a:graphic>
          </wp:inline>
        </w:drawing>
      </w:r>
    </w:p>
    <w:p>
      <w:pPr>
        <w:jc w:val="center"/>
      </w:pPr>
      <w:r>
        <w:rPr>
          <w:i/>
          <w:sz w:val="20"/>
        </w:rPr>
        <w:t>Figure 5.2. PM100's mean node_power_consumption divided by allocated node count, for jobs at each node count from 1 to 32. A per-node reading would not need this division to stay flat across scales.</w:t>
      </w:r>
    </w:p>
    <w:p>
      <w:r>
        <w:t>Before fitting anything, I checked how the model's four predictors — allocated nodes, cores, GPUs, and memory — relate to each other, since Marconi100 assigns cores, GPUs, and memory to a job in close to a fixed ratio per node. They are correlated with each other at 0.85 to 0.97 across every pair. That is worth knowing before looking at the calibrated coefficients below, not after.</w:t>
      </w:r>
    </w:p>
    <w:p>
      <w:r>
        <w:t>The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directly above, which is a reasonable plausibility check on the fit. The GPU and memory coefficients coming out negative is physically backwards for resources that should only add to a node's power draw, and the correlation checked above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14" name="Picture 14"/>
            <wp:cNvGraphicFramePr>
              <a:graphicFrameLocks noChangeAspect="1"/>
            </wp:cNvGraphicFramePr>
            <a:graphic>
              <a:graphicData uri="http://schemas.openxmlformats.org/drawingml/2006/picture">
                <pic:pic>
                  <pic:nvPicPr>
                    <pic:cNvPr id="0" name="nb03_cell25_img3.png"/>
                    <pic:cNvPicPr/>
                  </pic:nvPicPr>
                  <pic:blipFill>
                    <a:blip r:embed="rId22"/>
                    <a:stretch>
                      <a:fillRect/>
                    </a:stretch>
                  </pic:blipFill>
                  <pic:spPr>
                    <a:xfrm>
                      <a:off x="0" y="0"/>
                      <a:ext cx="5029200" cy="3970867"/>
                    </a:xfrm>
                    <a:prstGeom prst="rect"/>
                  </pic:spPr>
                </pic:pic>
              </a:graphicData>
            </a:graphic>
          </wp:inline>
        </w:drawing>
      </w:r>
    </w:p>
    <w:p>
      <w:pPr>
        <w:jc w:val="center"/>
      </w:pPr>
      <w:r>
        <w:rPr>
          <w:i/>
          <w:sz w:val="20"/>
        </w:rPr>
        <w:t>Figure 5.3.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at least on the six-month and six-consecutive-month slices used here. The model's predictions are trustworthy on this evidence; its individual coefficients, for the reason given above, are not.</w:t>
      </w:r>
    </w:p>
    <w:p>
      <w:r>
        <w:t>F-DATA's Roofline baseline and PM100's power model are not directly comparable to each other —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Section 3.3 called re-checking assertions after every transformation step a deliberate discipline rather than a formality, and this notebook kept it up: opint's non-negativity and finiteness, the Roofline ceiling never exceeding the compute-bound peak, positive predicted durations, finite calibration coefficients, the log1p/expm1 round-trip, and no leakage across the chronological split all passed before any number reported above was trusted.</w:t>
      </w:r>
    </w:p>
    <w:p>
      <w:r>
        <w:t>Three things are deferred past this notebook. The Roofline analysis above covers six of F-DATA's 38 months; the full-scale run is left for a later notebook, consistent with the dev-scale approach used throughout this chapter. The rolling-window temporal-drift check across F-DATA's full span, separate from the single chronological split used here, has not been run. And both baselines built here — Roofline, the naive median, and the calibrated power model — are meant to be reused in the full evaluation sweep planned for notebook 08, sitting in the same comparison tables as the random forest, gradient-boosted tree, feedforward, recurrent, and hybrid models covered in later chapters.</w:t>
      </w:r>
    </w:p>
    <w:p>
      <w:pPr>
        <w:pStyle w:val="Heading2"/>
      </w:pPr>
      <w:r>
        <w:t>5.5 Microbenchmark Validation</w:t>
      </w:r>
    </w:p>
    <w:p>
      <w:r>
        <w:t>F-DATA's Roofline in Section 5.4 is built entirely from the dataset's own reported FLOP and bandwidth counters, which leaves one question unanswered: is the construction itself — the ceiling formula, the compute/memory-bound classification — actually correct, or does it only look plausible because the input counters and the output label were computed by related methods? Notebook 04 is a small, self-contained side-study built to answer that, independent of F-DATA and PM100 entirely: run a handful of GPU kernels locally, time them directly, and check whether the same Roofline construction recovers the right answer on hardware where the right answer is known in advance rather than merely self-reported.</w:t>
      </w:r>
    </w:p>
    <w:p>
      <w:r>
        <w:t>It runs on this workstation's own RTX 3090, confirmed directly rather than assumed: a GA102 die, 82 streaming multiprocessors, compute capability 8.6, 25.29 gigabytes of memory. Published specs put its double-precision peak at 0.556 teraFLOP/s and its single-precision peak at 35.58 teraFLOP/s — consumer Ampere runs FP64 at 1/64 the FP32 rate, a restriction a datacenter part like the A100 doesn't share — and its memory bandwidth at 936.2 gigabytes per second across a 384-bit GDDR6X bus.</w:t>
      </w:r>
    </w:p>
    <w:p>
      <w:r>
        <w:t>The plan named NAS Parallel Benchmarks or Rodinia's kernel suite as the source material, following Konstantinidis et al. 2017's microbenchmark-based Roofline approach. Neither suite was actually compiled and run here; four standard operations implemented directly in PyTorch substitute for them — vector_add (SAXPY/DAXPY), dot_product, gemv (matrix-vector multiply), and gemm (matrix-matrix multiply) — chosen to span the same low-to-high arithmetic-intensity range Rodinia's kernels do, in less time than standing up an external C/CUDA build. None of these four resemble anything in F-DATA's actual job mix, and that's not an oversight: this notebook validates the Roofline construction itself, not F-DATA's workload characteristics, and validating a construction requires kernels whose FLOP count and byte count are known exactly, so their true compute- or memory-bound regime is known in advance. F-DATA's own jobs offer no such independent ground truth — only the dataset's own precomputed pclass label, which risks confirming the same method it's meant to check rather than testing it against something external. Konstantinidis et al. 2017's own approach uses this same logic: synthetic, controlled kernels trace a GPU's achievable-performance curve independent of whatever workload eventually runs against it. Dense linear algebra isn't an arbitrary stand-in either — GEMM and GEMV underlie a large share of real scientific computing — but no claim is made that these four kernels reproduce F-DATA's actual jobs; that would need profiling real F-DATA-representative application code, which is out of scope here.</w:t>
      </w:r>
    </w:p>
    <w:p>
      <w:r>
        <w:t>Each kernel ran across several problem sizes, in both FP32 and FP64, timed with CUDA events rather than wall-clock time so host-side Python overhead around the kernel launch wouldn't be included: five warmup calls discarded, then twenty further calls averaged.</w:t>
      </w:r>
    </w:p>
    <w:p>
      <w:r>
        <w:t>Unlike F-DATA, these kernels have a regime known in advance by construction: vector_add and dot_product are memory-bound at any problem size, and gemm should move toward compute-bound as the matrix size grows, since its FLOPs scale with the cube of the dimension against memory traffic that only scales with the square. The classification logic recovered exactly that in every run — vector_add and dot_product classified memory-bound in 8 of 8 runs at both precisions, and the largest gemm (8192×8192) classified compute-bound, reaching 75.8 percent of the FP32 peak and 100.0 percent of the FP64 peak. That FP64 figure isn't a typo: the crippled consumer FP64 rate is low enough that a modestly sized GEMM saturates it easily. Because these kernels' true regime is known independently rather than only cross-checked against a dataset's own label, this is a stronger validation of the Roofline construction than notebook 03's 99.9931 percent pclass agreement was.</w:t>
      </w:r>
    </w:p>
    <w:p>
      <w:pPr>
        <w:jc w:val="center"/>
      </w:pPr>
      <w:r>
        <w:drawing>
          <wp:inline xmlns:a="http://schemas.openxmlformats.org/drawingml/2006/main" xmlns:pic="http://schemas.openxmlformats.org/drawingml/2006/picture">
            <wp:extent cx="5029200" cy="4300330"/>
            <wp:docPr id="15" name="Picture 15"/>
            <wp:cNvGraphicFramePr>
              <a:graphicFrameLocks noChangeAspect="1"/>
            </wp:cNvGraphicFramePr>
            <a:graphic>
              <a:graphicData uri="http://schemas.openxmlformats.org/drawingml/2006/picture">
                <pic:pic>
                  <pic:nvPicPr>
                    <pic:cNvPr id="0" name="nb04_cell10_img1.png"/>
                    <pic:cNvPicPr/>
                  </pic:nvPicPr>
                  <pic:blipFill>
                    <a:blip r:embed="rId23"/>
                    <a:stretch>
                      <a:fillRect/>
                    </a:stretch>
                  </pic:blipFill>
                  <pic:spPr>
                    <a:xfrm>
                      <a:off x="0" y="0"/>
                      <a:ext cx="5029200" cy="4300330"/>
                    </a:xfrm>
                    <a:prstGeom prst="rect"/>
                  </pic:spPr>
                </pic:pic>
              </a:graphicData>
            </a:graphic>
          </wp:inline>
        </w:drawing>
      </w:r>
    </w:p>
    <w:p>
      <w:pPr>
        <w:jc w:val="center"/>
      </w:pPr>
      <w:r>
        <w:rPr>
          <w:i/>
          <w:sz w:val="20"/>
        </w:rPr>
        <w:t>Figure 5.4. RTX 3090 measured Roofline, FP32. Achieved performance for all four kernels across their tested problem sizes, against the 35.58 TFLOP/s compute-bound ceiling and the 936.2 GB/s memory-bound line.</w:t>
      </w:r>
    </w:p>
    <w:p>
      <w:pPr>
        <w:jc w:val="center"/>
      </w:pPr>
      <w:r>
        <w:drawing>
          <wp:inline xmlns:a="http://schemas.openxmlformats.org/drawingml/2006/main" xmlns:pic="http://schemas.openxmlformats.org/drawingml/2006/picture">
            <wp:extent cx="5029200" cy="4306572"/>
            <wp:docPr id="16" name="Picture 16"/>
            <wp:cNvGraphicFramePr>
              <a:graphicFrameLocks noChangeAspect="1"/>
            </wp:cNvGraphicFramePr>
            <a:graphic>
              <a:graphicData uri="http://schemas.openxmlformats.org/drawingml/2006/picture">
                <pic:pic>
                  <pic:nvPicPr>
                    <pic:cNvPr id="0" name="nb04_cell11_img2.png"/>
                    <pic:cNvPicPr/>
                  </pic:nvPicPr>
                  <pic:blipFill>
                    <a:blip r:embed="rId24"/>
                    <a:stretch>
                      <a:fillRect/>
                    </a:stretch>
                  </pic:blipFill>
                  <pic:spPr>
                    <a:xfrm>
                      <a:off x="0" y="0"/>
                      <a:ext cx="5029200" cy="4306572"/>
                    </a:xfrm>
                    <a:prstGeom prst="rect"/>
                  </pic:spPr>
                </pic:pic>
              </a:graphicData>
            </a:graphic>
          </wp:inline>
        </w:drawing>
      </w:r>
    </w:p>
    <w:p>
      <w:pPr>
        <w:jc w:val="center"/>
      </w:pPr>
      <w:r>
        <w:rPr>
          <w:i/>
          <w:sz w:val="20"/>
        </w:rPr>
        <w:t>Figure 5.5. RTX 3090 measured Roofline, FP64. Same construction as Figure 5.4, against FP64's much lower 0.556 TFLOP/s compute-bound ceiling — GEMM saturates it at far smaller matrix sizes than in FP32.</w:t>
      </w:r>
    </w:p>
    <w:p>
      <w:r>
        <w:t>Building this validation surfaced a real finding along the way, not a bug. The first version of the sanity checks failed: vector_add at the smallest FP32 size (1,000,000 elements, an 8-megabyte working set across its two arrays) measured 124.6 percent of the RTX 3090's 936.2 gigabyte-per-second DRAM peak. The same kernel at 2,000,000 elements (16 megabytes) and above measured a normal 83 to 90 percent, so the excess was confined to a single point. The explanation is the GPU's memory hierarchy, not measurement error: the timing harness calls the same kernel on the same tensors twenty times in a row, and GA102's 6-megabyte L2 cache is large enough to serve a meaningful share of an 8-megabyte working set's repeated accesses, so the achieved rate reflects a blend of cache and DRAM bandwidth rather than DRAM alone. dot_product at the identical working set didn't show the same excess (54.8 percent of peak), which ruled out working-set size alone as the explanation — the specific memory-access pattern matters too, and a reduction kernel apparently doesn't benefit from repeated-call cache residency the way a straightforward elementwise write does. I fixed this by adding a working-set-size field to each kernel result and excluding rows within twice the L2 cache size from the DRAM-bandwidth check, a carve-out justified by the specific row it was built to explain rather than a tolerance loosened until the assertion stopped failing.</w:t>
      </w:r>
    </w:p>
    <w:p>
      <w:r>
        <w:t>This ties directly back to why Yang et al. 2019's Hierarchical Roofline, cited for F-DATA's methodology in the previous section, models multiple bandwidth levels — L1, L2, device memory, system memory — rather than a single DRAM figure. A roofline built against DRAM bandwidth alone is exactly the kind of model a small, cache-friendly problem can appear to violate, when what actually happened is the problem ran against a faster level of the memory hierarchy instead. F-DATA's own Roofline used a single measured bandwidth field and couldn't have caught this the way a controlled microbenchmark can — worth remembering when reading Section 5.4's ceiling as if it captured the whole hierarchy, since it doesn't.</w:t>
      </w:r>
    </w:p>
    <w:p>
      <w:r>
        <w:t>The same scope limitation stated for F-DATA's own Roofline applies here too, for the same reason: this workstation's RTX 3090 is neither Fugaku's A64FX nor Marconi100's V100s, so nothing here is a hardware-matched ceiling for either dataset. What it validates is the construction — does a real, measured achieved-performance-versus-intensity relationship take the shape the Roofline theory predicts, on hardware where the correct answer is known in advance. This notebook is self-contained and doesn't feed into any other notebook, which made it the cheapest piece of this work to have cut entirely had time run short elsewhere — it didn't, so it stayed in scope.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