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It is organized by the chapter each section is expected to land in, following the structure recorded in WRITING_TRACKER.md. None of this is final prose — line numbers, wording, and even section order will change once the surrounding chapters exist —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 a number I confirmed directly from parquet metadata rather than the approximately-24-million figure quoted in the dataset's own paper. The file count is worth stating carefully: when this pipeline first ran, only one of the 38 files had actually been downloaded, and the loading code printed how many of the expected 38 it found rather than assuming the full set was present. All 38 were confirmed present by listing the directory directly — March 2021 through April 2024 with no gaps — before any of the numbers in this chapter that depend on the full date range were computed.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 there is no GPU field to speak of in F-DATA —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 it is the only one available.</w:t>
      </w:r>
    </w:p>
    <w:p>
      <w:r>
        <w:t>avgpcon needed a closer look before I trusted it as a target. Its documented name, average node power consumption, implies a single node's draw, but the maximum value in a 5,000-row sample was 259,097 watts —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avgpcon and PM100's node_power_consumption turn out to be the same category of field — both measure a job's total power draw, summed across every node it used, not a single node's reading. Section 5.4 confirmed this directly for node_power_consumption, by dividing each job's mean power by its allocated node count and finding the result holds close to constant, 677–732 watts, across node counts from 1 to 32 — a true per-node reading would not need that division to land in the same range at every scale. The two fields measure the same kind of quantity, but not the same hardware or the same job scale, and any table that puts them side by side still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812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812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The same pattern holds for the other five targets. F-DATA's memory and power, and all three of PM100's targets, show the same near-zero-dominated raw histogram spread into something usable once log1p-transformed.</w:t>
      </w:r>
    </w:p>
    <w:p>
      <w:pPr>
        <w:jc w:val="center"/>
      </w:pPr>
      <w:r>
        <w:drawing>
          <wp:inline xmlns:a="http://schemas.openxmlformats.org/drawingml/2006/main" xmlns:pic="http://schemas.openxmlformats.org/drawingml/2006/picture">
            <wp:extent cx="5029200" cy="1981200"/>
            <wp:docPr id="2" name="Picture 2"/>
            <wp:cNvGraphicFramePr>
              <a:graphicFrameLocks noChangeAspect="1"/>
            </wp:cNvGraphicFramePr>
            <a:graphic>
              <a:graphicData uri="http://schemas.openxmlformats.org/drawingml/2006/picture">
                <pic:pic>
                  <pic:nvPicPr>
                    <pic:cNvPr id="0" name="nb01_cell15_img2.png"/>
                    <pic:cNvPicPr/>
                  </pic:nvPicPr>
                  <pic:blipFill>
                    <a:blip r:embed="rId10"/>
                    <a:stretch>
                      <a:fillRect/>
                    </a:stretch>
                  </pic:blipFill>
                  <pic:spPr>
                    <a:xfrm>
                      <a:off x="0" y="0"/>
                      <a:ext cx="5029200" cy="1981200"/>
                    </a:xfrm>
                    <a:prstGeom prst="rect"/>
                  </pic:spPr>
                </pic:pic>
              </a:graphicData>
            </a:graphic>
          </wp:inline>
        </w:drawing>
      </w:r>
    </w:p>
    <w:p>
      <w:pPr>
        <w:jc w:val="center"/>
      </w:pPr>
      <w:r>
        <w:rPr>
          <w:i/>
          <w:sz w:val="20"/>
        </w:rPr>
        <w:t>Figure 3.5. F-DATA memory (mmszu), raw versus log1p-transformed.</w:t>
      </w:r>
    </w:p>
    <w:p>
      <w:pPr>
        <w:jc w:val="center"/>
      </w:pPr>
      <w:r>
        <w:drawing>
          <wp:inline xmlns:a="http://schemas.openxmlformats.org/drawingml/2006/main" xmlns:pic="http://schemas.openxmlformats.org/drawingml/2006/picture">
            <wp:extent cx="5029200" cy="1983203"/>
            <wp:docPr id="3" name="Picture 3"/>
            <wp:cNvGraphicFramePr>
              <a:graphicFrameLocks noChangeAspect="1"/>
            </wp:cNvGraphicFramePr>
            <a:graphic>
              <a:graphicData uri="http://schemas.openxmlformats.org/drawingml/2006/picture">
                <pic:pic>
                  <pic:nvPicPr>
                    <pic:cNvPr id="0" name="nb01_cell15_img3.png"/>
                    <pic:cNvPicPr/>
                  </pic:nvPicPr>
                  <pic:blipFill>
                    <a:blip r:embed="rId11"/>
                    <a:stretch>
                      <a:fillRect/>
                    </a:stretch>
                  </pic:blipFill>
                  <pic:spPr>
                    <a:xfrm>
                      <a:off x="0" y="0"/>
                      <a:ext cx="5029200" cy="1983203"/>
                    </a:xfrm>
                    <a:prstGeom prst="rect"/>
                  </pic:spPr>
                </pic:pic>
              </a:graphicData>
            </a:graphic>
          </wp:inline>
        </w:drawing>
      </w:r>
    </w:p>
    <w:p>
      <w:pPr>
        <w:jc w:val="center"/>
      </w:pPr>
      <w:r>
        <w:rPr>
          <w:i/>
          <w:sz w:val="20"/>
        </w:rPr>
        <w:t>Figure 3.6. F-DATA power (avgpcon), raw versus log1p-transformed.</w:t>
      </w:r>
    </w:p>
    <w:p>
      <w:pPr>
        <w:jc w:val="center"/>
      </w:pPr>
      <w:r>
        <w:drawing>
          <wp:inline xmlns:a="http://schemas.openxmlformats.org/drawingml/2006/main" xmlns:pic="http://schemas.openxmlformats.org/drawingml/2006/picture">
            <wp:extent cx="5029200" cy="1981200"/>
            <wp:docPr id="4" name="Picture 4"/>
            <wp:cNvGraphicFramePr>
              <a:graphicFrameLocks noChangeAspect="1"/>
            </wp:cNvGraphicFramePr>
            <a:graphic>
              <a:graphicData uri="http://schemas.openxmlformats.org/drawingml/2006/picture">
                <pic:pic>
                  <pic:nvPicPr>
                    <pic:cNvPr id="0" name="nb01_cell16_img4.png"/>
                    <pic:cNvPicPr/>
                  </pic:nvPicPr>
                  <pic:blipFill>
                    <a:blip r:embed="rId12"/>
                    <a:stretch>
                      <a:fillRect/>
                    </a:stretch>
                  </pic:blipFill>
                  <pic:spPr>
                    <a:xfrm>
                      <a:off x="0" y="0"/>
                      <a:ext cx="5029200" cy="1981200"/>
                    </a:xfrm>
                    <a:prstGeom prst="rect"/>
                  </pic:spPr>
                </pic:pic>
              </a:graphicData>
            </a:graphic>
          </wp:inline>
        </w:drawing>
      </w:r>
    </w:p>
    <w:p>
      <w:pPr>
        <w:jc w:val="center"/>
      </w:pPr>
      <w:r>
        <w:rPr>
          <w:i/>
          <w:sz w:val="20"/>
        </w:rPr>
        <w:t>Figure 3.7. PM100 execution time (run_time), raw versus log1p-transformed.</w:t>
      </w:r>
    </w:p>
    <w:p>
      <w:pPr>
        <w:jc w:val="center"/>
      </w:pPr>
      <w:r>
        <w:drawing>
          <wp:inline xmlns:a="http://schemas.openxmlformats.org/drawingml/2006/main" xmlns:pic="http://schemas.openxmlformats.org/drawingml/2006/picture">
            <wp:extent cx="5029200" cy="1981200"/>
            <wp:docPr id="5" name="Picture 5"/>
            <wp:cNvGraphicFramePr>
              <a:graphicFrameLocks noChangeAspect="1"/>
            </wp:cNvGraphicFramePr>
            <a:graphic>
              <a:graphicData uri="http://schemas.openxmlformats.org/drawingml/2006/picture">
                <pic:pic>
                  <pic:nvPicPr>
                    <pic:cNvPr id="0" name="nb01_cell16_img5.png"/>
                    <pic:cNvPicPr/>
                  </pic:nvPicPr>
                  <pic:blipFill>
                    <a:blip r:embed="rId13"/>
                    <a:stretch>
                      <a:fillRect/>
                    </a:stretch>
                  </pic:blipFill>
                  <pic:spPr>
                    <a:xfrm>
                      <a:off x="0" y="0"/>
                      <a:ext cx="5029200" cy="1981200"/>
                    </a:xfrm>
                    <a:prstGeom prst="rect"/>
                  </pic:spPr>
                </pic:pic>
              </a:graphicData>
            </a:graphic>
          </wp:inline>
        </w:drawing>
      </w:r>
    </w:p>
    <w:p>
      <w:pPr>
        <w:jc w:val="center"/>
      </w:pPr>
      <w:r>
        <w:rPr>
          <w:i/>
          <w:sz w:val="20"/>
        </w:rPr>
        <w:t>Figure 3.8. PM100 memory (mem_alloc), raw versus log1p-transformed.</w:t>
      </w:r>
    </w:p>
    <w:p>
      <w:pPr>
        <w:jc w:val="center"/>
      </w:pPr>
      <w:r>
        <w:drawing>
          <wp:inline xmlns:a="http://schemas.openxmlformats.org/drawingml/2006/main" xmlns:pic="http://schemas.openxmlformats.org/drawingml/2006/picture">
            <wp:extent cx="5029200" cy="1981200"/>
            <wp:docPr id="6" name="Picture 6"/>
            <wp:cNvGraphicFramePr>
              <a:graphicFrameLocks noChangeAspect="1"/>
            </wp:cNvGraphicFramePr>
            <a:graphic>
              <a:graphicData uri="http://schemas.openxmlformats.org/drawingml/2006/picture">
                <pic:pic>
                  <pic:nvPicPr>
                    <pic:cNvPr id="0" name="nb01_cell16_img6.png"/>
                    <pic:cNvPicPr/>
                  </pic:nvPicPr>
                  <pic:blipFill>
                    <a:blip r:embed="rId14"/>
                    <a:stretch>
                      <a:fillRect/>
                    </a:stretch>
                  </pic:blipFill>
                  <pic:spPr>
                    <a:xfrm>
                      <a:off x="0" y="0"/>
                      <a:ext cx="5029200" cy="1981200"/>
                    </a:xfrm>
                    <a:prstGeom prst="rect"/>
                  </pic:spPr>
                </pic:pic>
              </a:graphicData>
            </a:graphic>
          </wp:inline>
        </w:drawing>
      </w:r>
    </w:p>
    <w:p>
      <w:pPr>
        <w:jc w:val="center"/>
      </w:pPr>
      <w:r>
        <w:rPr>
          <w:i/>
          <w:sz w:val="20"/>
        </w:rPr>
        <w:t>Figure 3.9. PM100 power (node_power_consumption), raw versus log1p-transformed.</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708704"/>
            <wp:docPr id="7" name="Picture 7"/>
            <wp:cNvGraphicFramePr>
              <a:graphicFrameLocks noChangeAspect="1"/>
            </wp:cNvGraphicFramePr>
            <a:graphic>
              <a:graphicData uri="http://schemas.openxmlformats.org/drawingml/2006/picture">
                <pic:pic>
                  <pic:nvPicPr>
                    <pic:cNvPr id="0" name="nb01_cell18_img7.png"/>
                    <pic:cNvPicPr/>
                  </pic:nvPicPr>
                  <pic:blipFill>
                    <a:blip r:embed="rId15"/>
                    <a:stretch>
                      <a:fillRect/>
                    </a:stretch>
                  </pic:blipFill>
                  <pic:spPr>
                    <a:xfrm>
                      <a:off x="0" y="0"/>
                      <a:ext cx="5029200" cy="1708704"/>
                    </a:xfrm>
                    <a:prstGeom prst="rect"/>
                  </pic:spPr>
                </pic:pic>
              </a:graphicData>
            </a:graphic>
          </wp:inline>
        </w:drawing>
      </w:r>
    </w:p>
    <w:p>
      <w:pPr>
        <w:jc w:val="center"/>
      </w:pPr>
      <w:r>
        <w:rPr>
          <w:i/>
          <w:sz w:val="20"/>
        </w:rPr>
        <w:t>Figure 3.10. F-DATA jobs per day across the sampled files.</w:t>
      </w:r>
    </w:p>
    <w:p>
      <w:pPr>
        <w:jc w:val="center"/>
      </w:pPr>
      <w:r>
        <w:drawing>
          <wp:inline xmlns:a="http://schemas.openxmlformats.org/drawingml/2006/main" xmlns:pic="http://schemas.openxmlformats.org/drawingml/2006/picture">
            <wp:extent cx="5029200" cy="1708704"/>
            <wp:docPr id="8" name="Picture 8"/>
            <wp:cNvGraphicFramePr>
              <a:graphicFrameLocks noChangeAspect="1"/>
            </wp:cNvGraphicFramePr>
            <a:graphic>
              <a:graphicData uri="http://schemas.openxmlformats.org/drawingml/2006/picture">
                <pic:pic>
                  <pic:nvPicPr>
                    <pic:cNvPr id="0" name="nb01_cell18_img8.png"/>
                    <pic:cNvPicPr/>
                  </pic:nvPicPr>
                  <pic:blipFill>
                    <a:blip r:embed="rId16"/>
                    <a:stretch>
                      <a:fillRect/>
                    </a:stretch>
                  </pic:blipFill>
                  <pic:spPr>
                    <a:xfrm>
                      <a:off x="0" y="0"/>
                      <a:ext cx="5029200" cy="1708704"/>
                    </a:xfrm>
                    <a:prstGeom prst="rect"/>
                  </pic:spPr>
                </pic:pic>
              </a:graphicData>
            </a:graphic>
          </wp:inline>
        </w:drawing>
      </w:r>
    </w:p>
    <w:p>
      <w:pPr>
        <w:jc w:val="center"/>
      </w:pPr>
      <w:r>
        <w:rPr>
          <w:i/>
          <w:sz w:val="20"/>
        </w:rPr>
        <w:t>Figure 3.11.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On the current dev sample, that rolling average was populated for 4,426 of 4,721 F-DATA jobs (93.8 percent) and 3,717 of 3,952 PM100 jobs (94.1 percent) — high coverage at this scale, but notebook 02 flags it as provisional rather than final: with only a handful of scattered months loaded so far, many of these rolling averages rest on very few prior jobs per user rather than a full window, and both the coverage rate and the values themselves are expected to firm up once more of the dataset is loaded. Tier B holds everything measured during or after execution —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plan called for reducing it with PCA to, in the proposal's words, "a handful of components." I had originally set that handful to 10 without checking what fraction of the embedding's variance 10 components actually capture.</w:t>
      </w:r>
    </w:p>
    <w:p>
      <w:r>
        <w:t>It turned out to be 68 percent on a single month's data —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9" name="Picture 9"/>
            <wp:cNvGraphicFramePr>
              <a:graphicFrameLocks noChangeAspect="1"/>
            </wp:cNvGraphicFramePr>
            <a:graphic>
              <a:graphicData uri="http://schemas.openxmlformats.org/drawingml/2006/picture">
                <pic:pic>
                  <pic:nvPicPr>
                    <pic:cNvPr id="0" name="nb02_cell22_img3.png"/>
                    <pic:cNvPicPr/>
                  </pic:nvPicPr>
                  <pic:blipFill>
                    <a:blip r:embed="rId17"/>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 for the tree-based models and for the neural network architectures alike —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5.2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 impute and move on —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 values like [763] or [878] —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10" name="Picture 10"/>
            <wp:cNvGraphicFramePr>
              <a:graphicFrameLocks noChangeAspect="1"/>
            </wp:cNvGraphicFramePr>
            <a:graphic>
              <a:graphicData uri="http://schemas.openxmlformats.org/drawingml/2006/picture">
                <pic:pic>
                  <pic:nvPicPr>
                    <pic:cNvPr id="0" name="nb02_cell11_img1.png"/>
                    <pic:cNvPicPr/>
                  </pic:nvPicPr>
                  <pic:blipFill>
                    <a:blip r:embed="rId18"/>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 PM100's top five account for 45.4 percent of all completed jobs, F-DATA's top five for 41.4 percent in a five-month sample —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11" name="Picture 11"/>
            <wp:cNvGraphicFramePr>
              <a:graphicFrameLocks noChangeAspect="1"/>
            </wp:cNvGraphicFramePr>
            <a:graphic>
              <a:graphicData uri="http://schemas.openxmlformats.org/drawingml/2006/picture">
                <pic:pic>
                  <pic:nvPicPr>
                    <pic:cNvPr id="0" name="nb02_cell17_img2.png"/>
                    <pic:cNvPicPr/>
                  </pic:nvPicPr>
                  <pic:blipFill>
                    <a:blip r:embed="rId19"/>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 along with the raw req_nodes and threads_per_core columns —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r>
        <w:t>That decision covers three candidate features. It says nothing about whether the same problem was already sitting undetected somewhere in the feature set built before this vetting process existed, so I went back and ran the same concentration check against every PM100 Tier A column that predates it. One failed outright: req_switch, a Slurm switch-count field already in active use, has only 13 non-zero values across 180,310 completed jobs, and all 13 come from a single user — a worse concentration ratio than threads_per_core_set, which had already been excluded for the same reason. req_switch has now been moved to the same reserved category, with a derived req_switch_set flag preserved alongside it for consistency. The rest of the audit came back clean: shared's two populated categories each hold tens of thousands of jobs, nowhere near single-user territory, and the smallest categories of qos and partition, while occasionally tiny, are legitimate multi-valued scheduling fields rather than purpose-built rare flags, so ordinary small-category noise there is not the same concern. F-DATA's one comparable column, jobenv_req, showed a milder version of the same pattern — its minority value spans 21 users with a 39.2 percent top-user share, above F-DATA's own baseline concentration of 16.0 percent but well short of PM100's excluded flags — and is left active for now, flagged for a second look once more months of F-DATA are loaded.</w:t>
      </w:r>
    </w:p>
    <w:p>
      <w:r>
        <w:t>There is a second, broader question this whole exercise raised that is worth stating on its own rather than folding into the feature-by-feature discussion above: given that a handful of users account for close to half of all jobs in both datasets, does the chronological train/test split planned for later chapters risk giving an unrepresentative slice of any one heavy user's jobs to training versus testing? I checked this for PM100's five heaviest users directly, rather than leaving it as an open question. All five are active across 97 to 100 percent of the dataset's full 159-day span, with one exception reaching 76 percent after starting roughly a month into the window — none of them are concentrated in a narrow slice of time that a chronological split could isolate entirely on one side. That is a reassuring result, but it is specific to PM100. F-DATA spans 38 months rather than 6, which is a much longer window for a user's activity to plausibly shift, taper off, or start partway through before the dataset ends, and that check has not yet been run there. The Feature Vetting method described in this section should be treated as an ongoing discipline for this thesis rather than a step that was completed once and closed — the fact that it caught req_switch on a second pass, after already being applied once, is itself the argument for continuing to apply it as new features and the full-scale dataset come into the pipeline.</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 completed, failed, cancelled, timeout, out-of-memory, and node failure — and excludes a notably larger 21.0 percent. That gap between the two systems' failure rates is itself worth stating explicitly rather than treating the two datasets as symmetric on this point.</w:t>
      </w:r>
    </w:p>
    <w:p>
      <w:r>
        <w:br w:type="page"/>
      </w:r>
    </w:p>
    <w:p>
      <w:pPr>
        <w:pStyle w:val="Heading1"/>
      </w:pPr>
      <w:r>
        <w:t>Chapter 5 (partial): Experimental Environment and Reproducibility</w:t>
      </w:r>
    </w:p>
    <w:p>
      <w:r>
        <w:t>This chapter's final form will also cover model training details once those exist. The material below documents the computing environment and the memory constraints discovered while building the data pipeline, which belong here regardless of what else the chapter ends up containing.</w:t>
      </w:r>
    </w:p>
    <w:p>
      <w:pPr>
        <w:pStyle w:val="Heading2"/>
      </w:pPr>
      <w:r>
        <w:t>5.1 Computing Environment</w:t>
      </w:r>
    </w:p>
    <w:p>
      <w:r>
        <w:t>All experiments in this thesis, at least through the feature-engineering stage, run on a single workstation: an Intel i9-10900X (10 cores, 20 threads), 125 gigabytes of RAM, and an NVIDIA RTX 3090 with 24 gigabytes of VRAM.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5.2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5.3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 power sampled roughly every 20 seconds for the duration of the job, which is exactly the kind of sequence data the LSTM and TCN architectures in Chapter 4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p>
      <w:pPr>
        <w:pStyle w:val="Heading2"/>
      </w:pPr>
      <w:r>
        <w:t>5.4 Analytical Baselines</w:t>
      </w:r>
    </w:p>
    <w:p>
      <w:r>
        <w:t>Notebook 03 built the two analytical baselines the plan calls for: a Hierarchical Roofline model for F-DATA, and a calibrated resource-utilization power model for PM100. The two datasets need different treatments here, not just different numbers — F-DATA has the hardware performance counters Roofline requires, and PM100 does not, a distinction established already in Section 3.1.</w:t>
      </w:r>
    </w:p>
    <w:p>
      <w:r>
        <w:t>F-DATA was loaded as six consecutive monthly files, March through August 2021, rather than the scattered-month sampling used in notebooks 01 and 02. The chronological train/test split this notebook needed only makes sense across a real, contiguous span of time, and six scattered months would not have given one. PM100 was loaded in full, as it has been throughout. Both datasets were filtered to completed jobs only, the same filter used since Section 3.6: 10.5 percent of F-DATA's 2,897,734 loaded rows were excluded on this six-month slice, and 22.0 percent of PM100's 231,238 rows. That PM100 figure is measured on this notebook's own six-month window and is not the same measurement as the 21.0 percent reported in Section 3.6 against a different sample — the two numbers are close but come from different slices of the dataset, not from the same computation repeated.</w:t>
      </w:r>
    </w:p>
    <w:p>
      <w:r>
        <w:t>A chronological split was implemented for the first time in this notebook: 70 percent of each dataset's rows by submission time go to training, the remaining 30 percent to testing, with the boundary itself computed as a quantile of submission time rather than hand-picked. For F-DATA that boundary fell on July 1, 2021, giving 1,815,596 training rows and 777,528 test rows. For PM100 it fell on September 19, 2020, giving 126,217 training rows and 54,093 test rows. This split is now implemented once, in a shared module, so every notebook from here forward compares models against the same boundary rather than each picking its own.</w:t>
      </w:r>
    </w:p>
    <w:p>
      <w:r>
        <w:t>F-DATA's Roofline ceiling comes from the A64FX processor's published specifications: 3.3792 teraFLOP/s double-precision peak and 1024 gigabytes/second of peak HBM2 bandwidth, both per node. Before trusting any of this, I checked two things directly against the data rather than assuming them from the column documentation. First, that opint, F-DATA's own operational-intensity field, actually equals flops divided by mbwidth: it does, with a relative error of 0.00e+00 across all 2,593,124 completed jobs in this sample, meaning F-DATA's authors precompute it exactly and I did not need to recompute it myself. Second, that flops and mbwidth are job-wide totals rather than per-node figures, the same question Section 3.2 raised about avgpcon. The check was direct: 977 jobs appear to exceed the A64FX's single-node peak FLOP/s if node count is ignored, but zero jobs exceed it once each job's rate is divided by its node count. Both fields are job-wide totals, so the ceiling applied below is scaled by each job's node count before comparison.</w:t>
      </w:r>
    </w:p>
    <w:p>
      <w:pPr>
        <w:jc w:val="center"/>
      </w:pPr>
      <w:r>
        <w:drawing>
          <wp:inline xmlns:a="http://schemas.openxmlformats.org/drawingml/2006/main" xmlns:pic="http://schemas.openxmlformats.org/drawingml/2006/picture">
            <wp:extent cx="5029200" cy="4300330"/>
            <wp:docPr id="12" name="Picture 12"/>
            <wp:cNvGraphicFramePr>
              <a:graphicFrameLocks noChangeAspect="1"/>
            </wp:cNvGraphicFramePr>
            <a:graphic>
              <a:graphicData uri="http://schemas.openxmlformats.org/drawingml/2006/picture">
                <pic:pic>
                  <pic:nvPicPr>
                    <pic:cNvPr id="0" name="nb03_cell12_img1.png"/>
                    <pic:cNvPicPr/>
                  </pic:nvPicPr>
                  <pic:blipFill>
                    <a:blip r:embed="rId20"/>
                    <a:stretch>
                      <a:fillRect/>
                    </a:stretch>
                  </pic:blipFill>
                  <pic:spPr>
                    <a:xfrm>
                      <a:off x="0" y="0"/>
                      <a:ext cx="5029200" cy="4300330"/>
                    </a:xfrm>
                    <a:prstGeom prst="rect"/>
                  </pic:spPr>
                </pic:pic>
              </a:graphicData>
            </a:graphic>
          </wp:inline>
        </w:drawing>
      </w:r>
    </w:p>
    <w:p>
      <w:pPr>
        <w:jc w:val="center"/>
      </w:pPr>
      <w:r>
        <w:rPr>
          <w:i/>
          <w:sz w:val="20"/>
        </w:rPr>
        <w:t>Figure 5.1. F-DATA Roofline, per-node operational intensity against per-node performance, for 2,593,124 completed jobs across the six-month sample. The red ceiling combines the compute-bound peak (3.3792 TFLOP/s) and the memory-bound line (operational intensity times 1024 GB/s); the dashed line marks the ridge point at 3.30 FLOP/byte.</w:t>
      </w:r>
    </w:p>
    <w:p>
      <w:r>
        <w:t>Classifying each job as compute-bound or memory-bound from its position relative to the ridge point recovered F-DATA's own precomputed pclass label in 99.9931 percent of jobs, which is as close to a direct confirmation of the ceiling's correctness as this data can give.</w:t>
      </w:r>
    </w:p>
    <w:p>
      <w:r>
        <w:t>The Roofline ceiling implies a best-case duration for every job: how long it would take running at the fastest rate its own measured operational intensity allows. Evaluated against actual duration on the held-out test split, this scored an R² of -0.326 and a MAPE of 99.93 percent. A naive baseline — each job's own user's median duration over their training-period jobs, falling back to the training-period global median for users with no training history — scored an R² of -0.096 and a MAPE of 15,770 percent on the same split. Both numbers being negative is not a bug in either baseline. The Roofline ceiling assumes a job spends its entire wall-clock duration running at peak achievable rate, with no time lost to I/O, synchronization, or any other non-compute phase, so its predicted durations come out roughly five orders of magnitude below actual ones — a job predicted to finish in a fraction of a second actually running for thousands of seconds is the expected outcome of that assumption, not a sign the ceiling was computed wrong. The naive baseline's enormous MAPE is a known property of that metric when actual values sit close to zero — F-DATA's minimum recorded duration is 1 second — rather than evidence the median itself is a bad estimate; RMSE and R² tell a more usable story for this baseline than MAPE does on its own. Both baselines are exactly the floor the classical ML, deep learning, and hybrid models in later chapters need to clear, and a physics-informed model landing this far below even a naive median is itself worth stating plainly in this thesis rather than only reporting the numbers that make later models look good.</w:t>
      </w:r>
    </w:p>
    <w:p>
      <w:r>
        <w:t>PM100 has no FLOP, instruction, or performance-counter field anywhere in its schema — confirmed directly against documentation/job_features.md, not assumed from the absence noted in Section 3.1 — so no Roofline variant is computable there. The plan calls instead for a calibrated power model, fixed in functional form by hardware reasoning (an idle baseline plus a linear contribution per allocated resource) with only the coefficients fit to data.</w:t>
      </w:r>
    </w:p>
    <w:p>
      <w:r>
        <w:t>Building that model meant revisiting an assumption from Section 3.2, which described PM100's node_power_consumption as genuinely per-node, in contrast to F-DATA's job-total avgpcon. That assumption does not hold. Dividing each job's mean power by its allocated node count gives a per-node figure that stays close to constant across every node count from 1 to 32: 731.1 watts at 1 node, 720.1 at 2, 717.4 at 4, 701.8 at 8, 677.3 at 16, and 732.1 at 32. A reading that were actually per-node would not need dividing by node count to land in the same range at every scale; the fact that it does only after dividing means the raw field is already summed across every allocated node at each 20-second sample, the same kind of quantity avgpcon turned out to be in F-DATA. This is a correction to Section 3.2's framing, not an extension of it, and the power model below is built for the corrected, job-total interpretation: the idle-power term scales with the number of nodes allocated, rather than being added once per job.</w:t>
      </w:r>
    </w:p>
    <w:p>
      <w:pPr>
        <w:jc w:val="center"/>
      </w:pPr>
      <w:r>
        <w:drawing>
          <wp:inline xmlns:a="http://schemas.openxmlformats.org/drawingml/2006/main" xmlns:pic="http://schemas.openxmlformats.org/drawingml/2006/picture">
            <wp:extent cx="5029200" cy="3204882"/>
            <wp:docPr id="13" name="Picture 13"/>
            <wp:cNvGraphicFramePr>
              <a:graphicFrameLocks noChangeAspect="1"/>
            </wp:cNvGraphicFramePr>
            <a:graphic>
              <a:graphicData uri="http://schemas.openxmlformats.org/drawingml/2006/picture">
                <pic:pic>
                  <pic:nvPicPr>
                    <pic:cNvPr id="0" name="nb03_cell19_img2.png"/>
                    <pic:cNvPicPr/>
                  </pic:nvPicPr>
                  <pic:blipFill>
                    <a:blip r:embed="rId21"/>
                    <a:stretch>
                      <a:fillRect/>
                    </a:stretch>
                  </pic:blipFill>
                  <pic:spPr>
                    <a:xfrm>
                      <a:off x="0" y="0"/>
                      <a:ext cx="5029200" cy="3204882"/>
                    </a:xfrm>
                    <a:prstGeom prst="rect"/>
                  </pic:spPr>
                </pic:pic>
              </a:graphicData>
            </a:graphic>
          </wp:inline>
        </w:drawing>
      </w:r>
    </w:p>
    <w:p>
      <w:pPr>
        <w:jc w:val="center"/>
      </w:pPr>
      <w:r>
        <w:rPr>
          <w:i/>
          <w:sz w:val="20"/>
        </w:rPr>
        <w:t>Figure 5.2. PM100's mean node_power_consumption divided by allocated node count, for jobs at each node count from 1 to 32. A per-node reading would not need this division to stay flat across scales.</w:t>
      </w:r>
    </w:p>
    <w:p>
      <w:r>
        <w:t>Before fitting anything, I checked how the model's four predictors — allocated nodes, cores, GPUs, and memory — relate to each other, since Marconi100 assigns cores, GPUs, and memory to a job in close to a fixed ratio per node. They are correlated with each other at 0.85 to 0.97 across every pair. That is worth knowing before looking at the calibrated coefficients below, not after.</w:t>
      </w:r>
    </w:p>
    <w:p>
      <w:r>
        <w:t>The model was calibrated by ordinary least squares on the training split only, never touching the test split: an idle-power coefficient of 747.6 watts, 0.256 watts per allocated core, -23.674 watts per allocated GPU, and -0.126 watts per megabyte of allocated memory. The idle-power figure lands close to the 677-732 watt range measured directly above, which is a reasonable plausibility check on the fit. The GPU and memory coefficients coming out negative is physically backwards for resources that should only add to a node's power draw, and the correlation checked above is the direct explanation: with four predictors this closely tied to each other, ordinary least squares has no clean way to attribute the outcome to one of them over its near-duplicate neighbors, even when the resulting fit predicts well overall. I am reporting the coefficients as the fit produced them rather than adjusting them to look more physically sensible, since that would misrepresent what the calibration actually found.</w:t>
      </w:r>
    </w:p>
    <w:p>
      <w:pPr>
        <w:jc w:val="center"/>
      </w:pPr>
      <w:r>
        <w:drawing>
          <wp:inline xmlns:a="http://schemas.openxmlformats.org/drawingml/2006/main" xmlns:pic="http://schemas.openxmlformats.org/drawingml/2006/picture">
            <wp:extent cx="5029200" cy="3970867"/>
            <wp:docPr id="14" name="Picture 14"/>
            <wp:cNvGraphicFramePr>
              <a:graphicFrameLocks noChangeAspect="1"/>
            </wp:cNvGraphicFramePr>
            <a:graphic>
              <a:graphicData uri="http://schemas.openxmlformats.org/drawingml/2006/picture">
                <pic:pic>
                  <pic:nvPicPr>
                    <pic:cNvPr id="0" name="nb03_cell25_img3.png"/>
                    <pic:cNvPicPr/>
                  </pic:nvPicPr>
                  <pic:blipFill>
                    <a:blip r:embed="rId22"/>
                    <a:stretch>
                      <a:fillRect/>
                    </a:stretch>
                  </pic:blipFill>
                  <pic:spPr>
                    <a:xfrm>
                      <a:off x="0" y="0"/>
                      <a:ext cx="5029200" cy="3970867"/>
                    </a:xfrm>
                    <a:prstGeom prst="rect"/>
                  </pic:spPr>
                </pic:pic>
              </a:graphicData>
            </a:graphic>
          </wp:inline>
        </w:drawing>
      </w:r>
    </w:p>
    <w:p>
      <w:pPr>
        <w:jc w:val="center"/>
      </w:pPr>
      <w:r>
        <w:rPr>
          <w:i/>
          <w:sz w:val="20"/>
        </w:rPr>
        <w:t>Figure 5.3. PM100 calibrated power model, predicted against actual mean power on the training-period calibration subset. The dashed line marks perfect prediction.</w:t>
      </w:r>
    </w:p>
    <w:p>
      <w:r>
        <w:t>On the held-out test split, the calibrated model scored an R² of 0.910 and a MAPE of 21.82 percent, against the naive per-user-median baseline's R² of 0.096 and MAPE of 49.75 percent on the same jobs — a wide margin in the calibrated model's favor. Read together with the Roofline results above, the two analytical baselines behave very differently relative to their own naive floors: PM100's power target turns out to be far more predictable from allocated resources alone than F-DATA's duration is from a user's own recent history, at least on the six-month and six-consecutive-month slices used here. The model's predictions are trustworthy on this evidence; its individual coefficients, for the reason given above, are not.</w:t>
      </w:r>
    </w:p>
    <w:p>
      <w:r>
        <w:t>F-DATA's Roofline baseline and PM100's power model are not directly comparable to each other — different formulas, different physical quantities, and different targets, execution time against power. Any table in this thesis that places both side by side, including the one notebook 03 builds for its own recordkeeping, exists for convenience of layout, not as a claim that the two numbers mean the same thing.</w:t>
      </w:r>
    </w:p>
    <w:p>
      <w:r>
        <w:t>Section 3.3 called re-checking assertions after every transformation step a deliberate discipline rather than a formality, and this notebook kept it up: opint's non-negativity and finiteness, the Roofline ceiling never exceeding the compute-bound peak, positive predicted durations, finite calibration coefficients, the log1p/expm1 round-trip, and no leakage across the chronological split all passed before any number reported above was trusted.</w:t>
      </w:r>
    </w:p>
    <w:p>
      <w:r>
        <w:t>Three things are deferred past this notebook. The Roofline analysis above covers six of F-DATA's 38 months; the full-scale run is left for a later notebook, consistent with the dev-scale approach used throughout this chapter. The rolling-window temporal-drift check across F-DATA's full span, separate from the single chronological split used here, has not been run. And both baselines built here — Roofline, the naive median, and the calibrated power model — are meant to be reused in the full evaluation sweep planned for notebook 08, sitting in the same comparison tables as the random forest, gradient-boosted tree, feedforward, recurrent, and hybrid models covered in later chapters.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