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y3r5q1fjw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pwxlp5usz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BO-574 — Contrato Oficial de Queries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rh8i28fju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contrato oficial utilizado por los microservicios de TIXI para realizar consultas sobre información del dominio.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representa una solicitud de lectura.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modifica el estado del sistema.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deberá cumplir este documento.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9rzrw3jau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oficial;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convenciones de nomenclatura;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ordenamiento;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paginación;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proyecciones;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 lectura;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caché;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74pfytn2a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c0hzqf4gy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representa exclusivamente una operación de lectura.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h100xw4e2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Query nunca modifica un Aggregate.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8w3y4pvba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Query nunca genera Eventos de Dominio.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zueln8gy8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deberá ser auditable.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nm85u2rej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Queries deberán ser determinísticas.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consulta sobre el mismo estado deberá producir el mismo resultado.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xgt4cuzml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Convención de Nombres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Queries utilizarán: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GetBooking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GetDriver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FindRoutes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SearchPassengers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ListTransactions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GetWalletBalance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5rkkdyjr5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Estructura Oficial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deberá contener como mínimo: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QueryId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QueryType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RequestedBy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bdwi60cxl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Filtros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podrá incluir filtros oficiales.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BookingStatus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DateRange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filtros deberán ser independientes del almacenamiento interno.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5v1yq3b13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Ordenamiento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Queries podrán especificar: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campo;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ASC;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DESC.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 se indique orden, se utilizará el orden oficial definido para cada recurso.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wgj3u88sx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Paginación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colección deberá soportar paginación.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Parámetros oficiales: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PageSize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incluirá: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TotalItems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TotalPages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CurrentPage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wojtyu04x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Proyecciones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Queries podrán solicitar únicamente los campos necesarios.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Projection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proyección nunca modificará el recurso original.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jkfkr7vhv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Consistencia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deberá declarar el nivel esperado de consistencia.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oficiales: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dependerá del caso de uso.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xzbkrhvsv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Caché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Queries podrán utilizar mecanismos de caché cuando: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comprometan la consistencia requerida;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respeten las políticas oficiales de expiración;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mantengan coherencia con los eventos del dominio.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4ymrit66f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Respuesta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devolverá exclusivamente información.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confirmará cambios de estado.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respuestas deberán cumplir el estándar definido en </w:t>
      </w:r>
      <w:r w:rsidDel="00000000" w:rsidR="00000000" w:rsidRPr="00000000">
        <w:rPr>
          <w:b w:val="1"/>
          <w:bCs w:val="1"/>
          <w:rtl w:val="0"/>
        </w:rPr>
        <w:t xml:space="preserve">BO-571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h78fmxkc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Observabilidad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deberá registrar: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QueryId;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TraceId;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CorrelationId;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origen;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destino;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y64270er9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Reglas Arquitectónicas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RA-574-001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deberá ser de solo lectura.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RA-574-002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deberá poder ejecutarse múltiples veces sin efectos secundarios.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RA-574-003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deberá utilizar el formato oficial de Response.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RA-574-004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Query deberá ser completamente trazable.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RA-574-005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Queries nunca deberán generar Eventos de Dominio.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89wqtp2al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Requisitos No Funcionales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Queries deberán: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latencia;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escalado horizontal;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aprovechar caché cuando corresponda;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evolución compatible.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g8zdvz8z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Service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Layer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Platform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 móviles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microservicios consumidores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kq2rggrjc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Dependencias Documentales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contrato oficial de Queries.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contratos REST;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gRPC;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resiliencia;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mensajería;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integración.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uyp8upgm2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Historial de Versiones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x9vey9oh3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Contrato Oficial de Queries.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