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sdxbm0py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Mapa Maestro Conductor v3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em8rgp1b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Oficial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CONGELADO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iamnukshi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Mapa Maestro Conductor v3 constituye la especificación funcional definitiva del flujo operativo del conductor para el MVP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documento, cualquier modificación deberá tratarse como un cambio de arquitectura y no como una definición pendiente.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krgfx281p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Módulos Consolidados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o5p012l3x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bbxy98dlw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npt2e5lw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lk3db6tu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Activación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t8h9yyd6e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Viajes Disponibles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k1mf6nw0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en Construcción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lmo44v4cw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Cerrada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8zctluzb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Activa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771lcfwgy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p6e3s0xhi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1pt2lzex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Notificaciones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jv9lbb4vu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ybkacjwy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Ayuda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v7jyi4z26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b934ncmag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Congelado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d8bhpcf0u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Decisiones Arquitectónicas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establecen como definitivas para el MVP las siguientes decisiones: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ruta se crea al agregar la primera solicitud.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puede existir una Ruta en Construcción por conductor.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Cerrada puede reabrirse.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Activa siempre debe contener al menos un booking.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cancelación de una Ruta Activa solo puede producirse mediante el módulo de Incidencias.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mantiene una única Wallet durante toda su vida en TIXI.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Perfil centraliza la gestión de la cuenta del conductor.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Configuración se elimina y sus funcionalidades se redistribuyen entre Perfil, Ayuda, Notificaciones, Ruta Activa y la documentación legal.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q8j6828jv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representa la referencia oficial para el diseño de: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del dominio.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del flujo del conductor deberá ajustarse a las definiciones contenidas en este mapa maestro.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b84uq54ok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MAESTRO CONDUCTOR v3 — CONGELADO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