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00pmvaz4cp0" w:id="0"/>
      <w:bookmarkEnd w:id="0"/>
      <w:r w:rsidDel="00000000" w:rsidR="00000000" w:rsidRPr="00000000">
        <w:rPr>
          <w:rtl w:val="0"/>
        </w:rPr>
        <w:t xml:space="preserve">Propuesta para toda la documentación del Admin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Administración/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Arquitectura Funcional/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AF-ADM-001 Dashboard.md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AF-ADM-002 Conductores.md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AF-ADM-003 Pasajeros.md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AF-ADM-004 Vehículos.md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AF-ADM-005 Rutas.md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AF-ADM-006 Viajes.md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AF-ADM-007 Finanzas.md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AF-ADM-008 Incidencias.md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AF-ADM-009 Notificaciones.md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AF-ADM-010 Configuración.md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AF-ADM-011 Administradores.md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AF-ADM-012 Auditoría.md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└── Arquitectura Visual/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