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a9cxcjk02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Modelo de Datos Físico (Supabase)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n2epbca5w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Capítulo 4 — Definición Física de Tablas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6mtwjpfj2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la estructura física estándar que seguirán todas las tablas de la base de datos de TIXI.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capítulo establece las convenciones generales. En los siguientes capítulos se detallará cada tabla específica.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sxrr3q19v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 Convenciones Generales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tablas deberán cumplir las siguientes reglas: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en inglés.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en plural.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Clave primaria UUID.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 obligatoria.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 con RLS.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 con eventos.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y08gdw2xj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4.2 Estructura Base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tabla utilizará la siguiente estructura mínima:</w:t>
      </w:r>
    </w:p>
    <w:tbl>
      <w:tblPr>
        <w:tblStyle w:val="Table1"/>
        <w:tblW w:w="4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1595"/>
        <w:gridCol w:w="1415"/>
        <w:tblGridChange w:id="0">
          <w:tblGrid>
            <w:gridCol w:w="1355"/>
            <w:gridCol w:w="1595"/>
            <w:gridCol w:w="1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created_by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updated_by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aplique:</w:t>
      </w:r>
    </w:p>
    <w:tbl>
      <w:tblPr>
        <w:tblStyle w:val="Table2"/>
        <w:tblW w:w="2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1595"/>
        <w:tblGridChange w:id="0">
          <w:tblGrid>
            <w:gridCol w:w="1280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deleted_at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deleted_by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vb6sega4g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4.3 Convenciones de Identificadores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identificadores utilizarán UUID.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driver_id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passenger_id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route_id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booking_id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wallet_id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transaction_id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se utilizarán IDs autoincrementales para entidades principales.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22c0ytiww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4.4 Convenciones de Estados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entidades utilizarán campos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INACTIVE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BLOCKED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valores permitidos se definirán mediante tipos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</w:t>
      </w:r>
      <w:r w:rsidDel="00000000" w:rsidR="00000000" w:rsidRPr="00000000">
        <w:rPr>
          <w:rtl w:val="0"/>
        </w:rPr>
        <w:t xml:space="preserve"> o tablas de catálogo, según convenga a cada dominio.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6byl6zfd7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4.5 Convenciones de Fechas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fechas utilizarán UTC.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started_at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finished_at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approved_at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cancelled_at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eugoq2cbv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4.6 Relaciones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claves foráneas seguirán el formato: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driver_id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REFERENCES drivers(id)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relación deberá tener integridad referencial.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czhalp9qi4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4.7 Índices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tabla tendrá: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nvv5t58ms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Índice obligatorio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Primary Key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l00gg1zk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Índices según el caso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Foreign Keys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Campos de búsqueda frecuente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5r1djuogzo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4.8 Restricciones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que aplique: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NULL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 KEY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validación se realizará primero en la base de datos y luego en la aplicación.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iho29w7v5g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4.9 Auditoría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tablas críticas deberán registrar: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quién creó;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quién modificó;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cuándo ocurrió;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origen de la modificación.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acciones administrativas también generarán registros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6p0o3gg36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4.10 Compatibilidad con Eventos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tablas que representen operaciones de negocio deberán poder generar eventos del sistema.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RouteCreated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BookingAccepted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DriverSuspended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WalletRecharged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IncidentClosed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6ezsg2fqhk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4.11 Soft Delete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sea necesario conservar historial, se utilizará: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deleted_at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deleted_by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eliminarán físicamente registros críticos como: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transacciones;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bookings;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rutas;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osa12i4tnq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SALIDA HACIA IMPLEMENTACIÓN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capítulo habilita: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Convenciones oficiales para todas las tablas.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consistente de SQL.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Definición de índices.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 RLS.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 y trazabilidad.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ib5ij5gu0y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UBICACIÓN OFICIAL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TIXI/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└── 04_MODELO_DE_DATOS/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└── FISICO_SUPABASE/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└── TIXI — Modelo de Datos Físico (Supabase).md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wih9k7y3c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Jerarquía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Biblioteca:</w:t>
      </w:r>
      <w:r w:rsidDel="00000000" w:rsidR="00000000" w:rsidRPr="00000000">
        <w:rPr>
          <w:rtl w:val="0"/>
        </w:rPr>
        <w:t xml:space="preserve"> Modelo de Datos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Documento Padre:</w:t>
      </w:r>
      <w:r w:rsidDel="00000000" w:rsidR="00000000" w:rsidRPr="00000000">
        <w:rPr>
          <w:rtl w:val="0"/>
        </w:rPr>
        <w:t xml:space="preserve"> Manual Maestro del Proyecto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🟡 En construcción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i3k869wnqa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CAMINO RECORRIDO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Arquitectura           ████████████████████ 100%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Organización           ████████████████████ 100%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Modelo de Datos        ███████████████░░░░░ 60%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Implementación         ░░░░░░░░░░░░░░░░░░░░ 0%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n3vd7kvx5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SIGUIENTE CAPÍTULO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Capítulo 5 — Definición detallada de tablas (Drivers, Passengers y Admin Users).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pp1a4925i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Observación importante (para no desviarnos)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del próximo capítulo </w:t>
      </w:r>
      <w:r w:rsidDel="00000000" w:rsidR="00000000" w:rsidRPr="00000000">
        <w:rPr>
          <w:b w:val="1"/>
          <w:bCs w:val="1"/>
          <w:rtl w:val="0"/>
        </w:rPr>
        <w:t xml:space="preserve">dejaremos de definir reglas generales</w:t>
      </w:r>
      <w:r w:rsidDel="00000000" w:rsidR="00000000" w:rsidRPr="00000000">
        <w:rPr>
          <w:rtl w:val="0"/>
        </w:rPr>
        <w:t xml:space="preserve">. Empezaremos a definir las tablas reales, una por una, con todos sus campos, tipos de datos, relaciones y restricciones. Ese trabajo será el que posteriormente podremos convertir casi directamente en scripts SQL para Supabase. Ahí es donde el modelo de datos pasa de ser un documento a una especificación implementable.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