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34"/>
          <w:szCs w:val="34"/>
        </w:rPr>
      </w:pPr>
      <w:bookmarkStart w:colFirst="0" w:colLast="0" w:name="_cs2dlu17u7xb" w:id="0"/>
      <w:bookmarkEnd w:id="0"/>
      <w:r w:rsidDel="00000000" w:rsidR="00000000" w:rsidRPr="00000000">
        <w:rPr>
          <w:color w:val="1d1d1f"/>
          <w:sz w:val="34"/>
          <w:szCs w:val="34"/>
          <w:rtl w:val="0"/>
        </w:rPr>
        <w:t xml:space="preserve">RESUMEN DE LA ARQUITECTURA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https://chat.qwen.ai/s/t_41372093-5716-49a5-88d9-73e780f6aef2?spm=a2ty_o01.29997173.0.0.452455fb7ZccCY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CONDUCTOR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Sube docs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SUPABASE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status=pending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└────────────────┘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ADMIN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Revisa en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Backoffice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Selecciona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motivos de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catálogo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Rechaza →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Update status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+ reasons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Notificación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Push al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conductor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CONDUCTOR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Ve motivos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específicos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Corrige y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re-envía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qwen.ai/s/t_41372093-5716-49a5-88d9-73e780f6aef2?spm=a2ty_o01.29997173.0.0.452455fb7Zcc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